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5C" w:rsidRPr="0080750F" w:rsidRDefault="00DF6C5C" w:rsidP="00252628">
      <w:pPr>
        <w:pStyle w:val="Heading1"/>
      </w:pPr>
      <w:r w:rsidRPr="0080750F">
        <w:t>Introduction</w:t>
      </w:r>
      <w:r w:rsidR="008D1EED" w:rsidRPr="0080750F">
        <w:t xml:space="preserve"> and Background</w:t>
      </w:r>
    </w:p>
    <w:p w:rsidR="00A033A0" w:rsidRDefault="00A033A0">
      <w:r>
        <w:t xml:space="preserve">The California Office of Health Information Integrity (CalOHII) has developed </w:t>
      </w:r>
      <w:r w:rsidRPr="00A033A0">
        <w:t xml:space="preserve">the </w:t>
      </w:r>
      <w:r w:rsidRPr="00A033A0">
        <w:rPr>
          <w:i/>
        </w:rPr>
        <w:t>Statewide Health Information Policy Manual</w:t>
      </w:r>
      <w:r w:rsidRPr="00A033A0">
        <w:t xml:space="preserve"> (SHIPM)</w:t>
      </w:r>
      <w:r>
        <w:t xml:space="preserve"> using preemption analysis </w:t>
      </w:r>
      <w:r w:rsidRPr="00246D93">
        <w:t>to</w:t>
      </w:r>
      <w:r>
        <w:t xml:space="preserve"> ensure compliance with applicable</w:t>
      </w:r>
      <w:r w:rsidR="00C12ED8">
        <w:t xml:space="preserve"> </w:t>
      </w:r>
      <w:r w:rsidR="00C85EFD">
        <w:t>s</w:t>
      </w:r>
      <w:r w:rsidR="00C12ED8">
        <w:t xml:space="preserve">tate and </w:t>
      </w:r>
      <w:r w:rsidR="00C85EFD">
        <w:t>f</w:t>
      </w:r>
      <w:r w:rsidR="00C12ED8">
        <w:t>ederal</w:t>
      </w:r>
      <w:r>
        <w:t xml:space="preserve"> laws and regulations</w:t>
      </w:r>
      <w:r w:rsidR="00DF40C2">
        <w:t xml:space="preserve"> – the SHIPM references requirements for policies and procedures</w:t>
      </w:r>
      <w:r>
        <w:t>.</w:t>
      </w:r>
      <w:r w:rsidRPr="00A033A0">
        <w:t xml:space="preserve"> </w:t>
      </w:r>
      <w:r>
        <w:t xml:space="preserve"> </w:t>
      </w:r>
      <w:r w:rsidR="003D062E">
        <w:t>Health Insurance Portability and Accountability Act (</w:t>
      </w:r>
      <w:r w:rsidR="00B82C0B">
        <w:t>HIPAA</w:t>
      </w:r>
      <w:r w:rsidR="003D062E">
        <w:t>)</w:t>
      </w:r>
      <w:r w:rsidR="00B82C0B">
        <w:t xml:space="preserve"> regulations require covered entities to “Implement reasonable and appropriate policies and procedures to comply with standards, implementation specifications, or other requirements…”</w:t>
      </w:r>
      <w:r w:rsidR="00B82C0B">
        <w:rPr>
          <w:rStyle w:val="FootnoteReference"/>
        </w:rPr>
        <w:footnoteReference w:id="1"/>
      </w:r>
      <w:r w:rsidR="007D538D">
        <w:t xml:space="preserve"> </w:t>
      </w:r>
      <w:r w:rsidR="003D062E">
        <w:t xml:space="preserve"> </w:t>
      </w:r>
      <w:r>
        <w:t xml:space="preserve">To </w:t>
      </w:r>
      <w:r w:rsidRPr="00CB43A8">
        <w:t xml:space="preserve">assist departments, CalOHII created a checklist outlining all required policies and procedures – this document can be found </w:t>
      </w:r>
      <w:r w:rsidR="00CB43A8" w:rsidRPr="00CB43A8">
        <w:t xml:space="preserve">in the </w:t>
      </w:r>
      <w:hyperlink r:id="rId8" w:history="1">
        <w:r w:rsidR="00CB43A8" w:rsidRPr="00C85EFD">
          <w:rPr>
            <w:rStyle w:val="Hyperlink"/>
          </w:rPr>
          <w:t>SHIPM</w:t>
        </w:r>
      </w:hyperlink>
      <w:r w:rsidR="00CB43A8" w:rsidRPr="00CB43A8">
        <w:t xml:space="preserve"> </w:t>
      </w:r>
      <w:r w:rsidR="0009174A">
        <w:t>(</w:t>
      </w:r>
      <w:r w:rsidR="0009174A" w:rsidRPr="0009174A">
        <w:t>https://www.chhs.ca.gov/ohii/shipm/</w:t>
      </w:r>
      <w:r w:rsidR="0009174A">
        <w:t xml:space="preserve">) </w:t>
      </w:r>
      <w:r w:rsidR="00CB43A8" w:rsidRPr="00CB43A8">
        <w:t>Chapter 4, 4.1.1 Policies and Procedures</w:t>
      </w:r>
      <w:r w:rsidRPr="00CB43A8">
        <w:t>.</w:t>
      </w:r>
    </w:p>
    <w:p w:rsidR="00B82C0B" w:rsidRDefault="007D538D">
      <w:r>
        <w:t>Additionally</w:t>
      </w:r>
      <w:r w:rsidR="00B82C0B">
        <w:t>,</w:t>
      </w:r>
      <w:r>
        <w:t xml:space="preserve"> </w:t>
      </w:r>
      <w:r w:rsidR="002472EF">
        <w:t xml:space="preserve">CalOHII </w:t>
      </w:r>
      <w:r w:rsidR="00246D93">
        <w:t xml:space="preserve">requests copies of </w:t>
      </w:r>
      <w:r w:rsidR="00A033A0">
        <w:t xml:space="preserve">selected </w:t>
      </w:r>
      <w:r w:rsidR="00B82C0B">
        <w:t>documents</w:t>
      </w:r>
      <w:r>
        <w:t xml:space="preserve"> to demonstrate compliance</w:t>
      </w:r>
      <w:r w:rsidR="00B82C0B">
        <w:t xml:space="preserve"> during </w:t>
      </w:r>
      <w:r w:rsidR="00C85EFD">
        <w:t>the c</w:t>
      </w:r>
      <w:r w:rsidR="00B82C0B">
        <w:t xml:space="preserve">ompliance </w:t>
      </w:r>
      <w:r w:rsidR="00C85EFD">
        <w:t>r</w:t>
      </w:r>
      <w:r w:rsidR="00B82C0B">
        <w:t>eview</w:t>
      </w:r>
      <w:r w:rsidR="00C85EFD">
        <w:t xml:space="preserve"> process</w:t>
      </w:r>
      <w:r>
        <w:t>.</w:t>
      </w:r>
      <w:r w:rsidR="00C12ED8">
        <w:t xml:space="preserve">  For a list of the documents requested, refer to the </w:t>
      </w:r>
      <w:r w:rsidR="00C85EFD">
        <w:t xml:space="preserve">Compliance Review </w:t>
      </w:r>
      <w:r w:rsidR="00C12ED8">
        <w:t xml:space="preserve">Artifacts Request List which can be found </w:t>
      </w:r>
      <w:r w:rsidR="00CB43A8">
        <w:t xml:space="preserve">on the CalOHII </w:t>
      </w:r>
      <w:hyperlink r:id="rId9" w:history="1">
        <w:r w:rsidR="00C85EFD" w:rsidRPr="00C85EFD">
          <w:rPr>
            <w:rStyle w:val="Hyperlink"/>
          </w:rPr>
          <w:t>Compliance Review</w:t>
        </w:r>
      </w:hyperlink>
      <w:r w:rsidR="00C85EFD">
        <w:t xml:space="preserve"> page</w:t>
      </w:r>
      <w:r w:rsidR="0009174A">
        <w:t xml:space="preserve"> (</w:t>
      </w:r>
      <w:r w:rsidR="0009174A" w:rsidRPr="0009174A">
        <w:t>https://www.chhs.ca.gov/ohii/compliance-review/</w:t>
      </w:r>
      <w:r w:rsidR="00C85EFD">
        <w:t>)</w:t>
      </w:r>
      <w:r w:rsidR="00CB43A8">
        <w:t>.</w:t>
      </w:r>
      <w:r>
        <w:t xml:space="preserve"> </w:t>
      </w:r>
    </w:p>
    <w:p w:rsidR="002C5063" w:rsidRDefault="007D538D" w:rsidP="001B4670">
      <w:r>
        <w:t>Several departments have requested additiona</w:t>
      </w:r>
      <w:r w:rsidR="00246D93">
        <w:t xml:space="preserve">l information </w:t>
      </w:r>
      <w:r w:rsidR="00D9261F">
        <w:t xml:space="preserve">on </w:t>
      </w:r>
      <w:r w:rsidR="00246D93">
        <w:t>how to develop</w:t>
      </w:r>
      <w:r>
        <w:t xml:space="preserve"> policies and procedures as well as some examples.  CalOHII </w:t>
      </w:r>
      <w:r w:rsidR="002472EF">
        <w:t>has comp</w:t>
      </w:r>
      <w:r w:rsidR="00B82C0B">
        <w:t>i</w:t>
      </w:r>
      <w:r w:rsidR="002472EF">
        <w:t xml:space="preserve">led this document to assist </w:t>
      </w:r>
      <w:r w:rsidR="00D9261F">
        <w:t>d</w:t>
      </w:r>
      <w:r w:rsidR="002472EF">
        <w:t xml:space="preserve">epartments </w:t>
      </w:r>
      <w:r w:rsidR="00A033A0">
        <w:t xml:space="preserve">– it </w:t>
      </w:r>
      <w:r w:rsidR="00246D93" w:rsidRPr="008C1C20">
        <w:t>contains t</w:t>
      </w:r>
      <w:r w:rsidR="002472EF" w:rsidRPr="008C1C20">
        <w:t xml:space="preserve">ips and tools </w:t>
      </w:r>
      <w:r w:rsidR="00C12ED8">
        <w:t>on how to</w:t>
      </w:r>
      <w:r w:rsidR="008C1C20" w:rsidRPr="008C1C20">
        <w:t xml:space="preserve"> develop</w:t>
      </w:r>
      <w:r w:rsidR="002472EF" w:rsidRPr="008C1C20">
        <w:t xml:space="preserve"> </w:t>
      </w:r>
      <w:r w:rsidR="00B82C0B" w:rsidRPr="008C1C20">
        <w:t>policy and procedure</w:t>
      </w:r>
      <w:r w:rsidR="00C12ED8">
        <w:t xml:space="preserve"> </w:t>
      </w:r>
      <w:proofErr w:type="gramStart"/>
      <w:r w:rsidR="00C12ED8">
        <w:t>documents</w:t>
      </w:r>
      <w:proofErr w:type="gramEnd"/>
      <w:r w:rsidR="00C12ED8">
        <w:t xml:space="preserve"> including </w:t>
      </w:r>
      <w:r w:rsidR="008C1C20" w:rsidRPr="008C1C20">
        <w:t>how to pull together the applicable information and ideas on how to present or document the information.</w:t>
      </w:r>
    </w:p>
    <w:p w:rsidR="007A5498" w:rsidRPr="0080750F" w:rsidRDefault="007A5498" w:rsidP="00252628">
      <w:pPr>
        <w:pStyle w:val="Heading1"/>
      </w:pPr>
      <w:r w:rsidRPr="0080750F">
        <w:t xml:space="preserve">Tips and Tools </w:t>
      </w:r>
    </w:p>
    <w:p w:rsidR="005E7465" w:rsidRDefault="005E7465" w:rsidP="00252628">
      <w:pPr>
        <w:pStyle w:val="Heading2"/>
      </w:pPr>
      <w:r>
        <w:t>General:</w:t>
      </w:r>
    </w:p>
    <w:p w:rsidR="004F7DCD" w:rsidRDefault="002F2D1A" w:rsidP="004F7DCD">
      <w:pPr>
        <w:pStyle w:val="ListParagraph"/>
        <w:numPr>
          <w:ilvl w:val="0"/>
          <w:numId w:val="12"/>
        </w:numPr>
      </w:pPr>
      <w:r w:rsidRPr="004F7DCD">
        <w:rPr>
          <w:b/>
        </w:rPr>
        <w:t xml:space="preserve">Information in this document </w:t>
      </w:r>
      <w:r w:rsidRPr="003D062E">
        <w:rPr>
          <w:b/>
          <w:u w:val="single"/>
        </w:rPr>
        <w:t>must</w:t>
      </w:r>
      <w:r w:rsidRPr="004F7DCD">
        <w:rPr>
          <w:b/>
        </w:rPr>
        <w:t xml:space="preserve"> be used in coordination with the SHIPM.</w:t>
      </w:r>
      <w:r>
        <w:t xml:space="preserve">  </w:t>
      </w:r>
    </w:p>
    <w:p w:rsidR="002F2D1A" w:rsidRDefault="002F2D1A" w:rsidP="004F7DCD">
      <w:pPr>
        <w:pStyle w:val="ListParagraph"/>
        <w:numPr>
          <w:ilvl w:val="1"/>
          <w:numId w:val="12"/>
        </w:numPr>
      </w:pPr>
      <w:r>
        <w:t xml:space="preserve">The SHIPM was compiled and developed </w:t>
      </w:r>
      <w:r w:rsidR="00D9261F">
        <w:t>using</w:t>
      </w:r>
      <w:r>
        <w:t xml:space="preserve"> preemption analysis and outlines the details </w:t>
      </w:r>
      <w:r w:rsidRPr="00246D93">
        <w:t>of what each policy/procedure must contain to</w:t>
      </w:r>
      <w:r>
        <w:t xml:space="preserve"> be compliant with applicable </w:t>
      </w:r>
      <w:r w:rsidR="00C85EFD">
        <w:t>state and f</w:t>
      </w:r>
      <w:r w:rsidR="00B6544E">
        <w:t xml:space="preserve">ederal </w:t>
      </w:r>
      <w:r>
        <w:t xml:space="preserve">laws and regulations.  </w:t>
      </w:r>
    </w:p>
    <w:p w:rsidR="00D9261F" w:rsidRDefault="004F7DCD" w:rsidP="004F7DCD">
      <w:pPr>
        <w:pStyle w:val="ListParagraph"/>
        <w:numPr>
          <w:ilvl w:val="1"/>
          <w:numId w:val="12"/>
        </w:numPr>
      </w:pPr>
      <w:r>
        <w:t>Required policies and procedures are noted in the “Policy” and/or “Implementation Specifics” sections of the SHIPM</w:t>
      </w:r>
      <w:r w:rsidR="00D9261F">
        <w:t>.</w:t>
      </w:r>
    </w:p>
    <w:p w:rsidR="004F7DCD" w:rsidRDefault="00D9261F" w:rsidP="00D9261F">
      <w:pPr>
        <w:pStyle w:val="ListParagraph"/>
        <w:numPr>
          <w:ilvl w:val="2"/>
          <w:numId w:val="12"/>
        </w:numPr>
      </w:pPr>
      <w:r>
        <w:t xml:space="preserve">An additional tool for identifying required policies and procedures is the checklist provided in </w:t>
      </w:r>
      <w:r w:rsidR="00CB43A8" w:rsidRPr="00CB43A8">
        <w:t>Chapter 4, 4.1.1 Policies and Procedures</w:t>
      </w:r>
      <w:r w:rsidR="00CB43A8">
        <w:t xml:space="preserve"> </w:t>
      </w:r>
      <w:r>
        <w:t>of the SHIPM.</w:t>
      </w:r>
      <w:r w:rsidR="004F7DCD">
        <w:t xml:space="preserve"> </w:t>
      </w:r>
    </w:p>
    <w:p w:rsidR="004F7DCD" w:rsidRDefault="002F2D1A" w:rsidP="004F7DCD">
      <w:pPr>
        <w:pStyle w:val="ListParagraph"/>
        <w:numPr>
          <w:ilvl w:val="0"/>
          <w:numId w:val="12"/>
        </w:numPr>
      </w:pPr>
      <w:r>
        <w:lastRenderedPageBreak/>
        <w:t xml:space="preserve">As you </w:t>
      </w:r>
      <w:r w:rsidR="00D9261F">
        <w:t xml:space="preserve">identify </w:t>
      </w:r>
      <w:r w:rsidR="007A5498">
        <w:t>HIPAA required policies and procedures, keep in mind this does not mean new documents must be created – instead</w:t>
      </w:r>
      <w:r w:rsidR="00A033A0">
        <w:t>,</w:t>
      </w:r>
      <w:r w:rsidR="007A5498">
        <w:t xml:space="preserve"> it likely means reviewing your current documentation to ensure </w:t>
      </w:r>
      <w:r w:rsidR="004F7DCD">
        <w:t>it</w:t>
      </w:r>
      <w:r w:rsidR="007A5498">
        <w:t xml:space="preserve"> address</w:t>
      </w:r>
      <w:r w:rsidR="004F7DCD">
        <w:t>es</w:t>
      </w:r>
      <w:r w:rsidR="007A5498">
        <w:t xml:space="preserve"> HIPAA specific requirements.</w:t>
      </w:r>
      <w:r w:rsidR="004F7DCD">
        <w:t xml:space="preserve">  For example:</w:t>
      </w:r>
    </w:p>
    <w:p w:rsidR="007A5498" w:rsidRDefault="004F7DCD" w:rsidP="004F7DCD">
      <w:pPr>
        <w:pStyle w:val="ListParagraph"/>
        <w:numPr>
          <w:ilvl w:val="1"/>
          <w:numId w:val="12"/>
        </w:numPr>
      </w:pPr>
      <w:r>
        <w:t>W</w:t>
      </w:r>
      <w:r w:rsidR="007A5498">
        <w:t>hen developing the policies and procedures to ensure compliance with SHIPM</w:t>
      </w:r>
      <w:r w:rsidR="0080750F">
        <w:t>,</w:t>
      </w:r>
      <w:r w:rsidR="00DF40C2">
        <w:t xml:space="preserve"> Section</w:t>
      </w:r>
      <w:r w:rsidR="007A5498">
        <w:t xml:space="preserve"> 3.</w:t>
      </w:r>
      <w:r w:rsidR="00C85EFD">
        <w:t>3</w:t>
      </w:r>
      <w:r w:rsidR="007A5498">
        <w:t>.</w:t>
      </w:r>
      <w:r w:rsidR="00C85EFD">
        <w:t>5</w:t>
      </w:r>
      <w:r w:rsidR="007A5498">
        <w:t xml:space="preserve"> Access Control</w:t>
      </w:r>
      <w:r w:rsidR="0080750F">
        <w:t>,</w:t>
      </w:r>
      <w:r w:rsidR="007A5498">
        <w:t xml:space="preserve"> you may find that you already have documentation in place as part of your </w:t>
      </w:r>
      <w:r w:rsidR="007A5498" w:rsidRPr="00A033A0">
        <w:rPr>
          <w:i/>
        </w:rPr>
        <w:t>Operational and Technical Policies and Procedures</w:t>
      </w:r>
      <w:r w:rsidR="007A5498">
        <w:t xml:space="preserve"> required for </w:t>
      </w:r>
      <w:r w:rsidR="00A033A0" w:rsidRPr="00A033A0">
        <w:rPr>
          <w:i/>
        </w:rPr>
        <w:t>Statewide Information Management Manual</w:t>
      </w:r>
      <w:r w:rsidR="00A033A0">
        <w:t xml:space="preserve"> (</w:t>
      </w:r>
      <w:r w:rsidR="00A033A0" w:rsidRPr="005E7465">
        <w:t>SIMM</w:t>
      </w:r>
      <w:r w:rsidR="00A033A0">
        <w:t>)</w:t>
      </w:r>
      <w:r w:rsidR="007A5498">
        <w:t xml:space="preserve"> 5305 A.</w:t>
      </w:r>
      <w:r w:rsidR="007A5498">
        <w:rPr>
          <w:rStyle w:val="FootnoteReference"/>
        </w:rPr>
        <w:footnoteReference w:id="2"/>
      </w:r>
      <w:r w:rsidR="007E5D2C">
        <w:t xml:space="preserve">  Rather than develop new documentation for HIPAA, review your current </w:t>
      </w:r>
      <w:r w:rsidR="007E5D2C" w:rsidRPr="004F3BD0">
        <w:rPr>
          <w:i/>
        </w:rPr>
        <w:t>Access Control Policies and Procedures</w:t>
      </w:r>
      <w:r w:rsidR="007E5D2C">
        <w:t xml:space="preserve"> to ensure compliance</w:t>
      </w:r>
      <w:r w:rsidR="002F2D1A">
        <w:t xml:space="preserve"> with the items </w:t>
      </w:r>
      <w:r w:rsidR="00DF40C2">
        <w:t xml:space="preserve">outlined </w:t>
      </w:r>
      <w:r w:rsidR="002F2D1A">
        <w:t xml:space="preserve">in SHIPM sections “Policy” and “Implementation Specifics”.  </w:t>
      </w:r>
      <w:r w:rsidR="00713D9B">
        <w:t>When your review finds</w:t>
      </w:r>
      <w:r w:rsidR="002F2D1A">
        <w:t xml:space="preserve"> items are missing or </w:t>
      </w:r>
      <w:r w:rsidR="00713D9B">
        <w:t xml:space="preserve">the document is </w:t>
      </w:r>
      <w:r w:rsidR="002F2D1A">
        <w:t>deficient</w:t>
      </w:r>
      <w:r w:rsidR="00713D9B">
        <w:t xml:space="preserve"> - </w:t>
      </w:r>
      <w:r w:rsidR="002F2D1A">
        <w:t xml:space="preserve">update or </w:t>
      </w:r>
      <w:r w:rsidR="007E5D2C">
        <w:t xml:space="preserve">add </w:t>
      </w:r>
      <w:r w:rsidR="002F2D1A">
        <w:t>the items to your current document</w:t>
      </w:r>
      <w:r w:rsidR="007E5D2C">
        <w:t>.</w:t>
      </w:r>
      <w:r w:rsidR="002F2D1A">
        <w:t xml:space="preserve">  Ensure your document change log is upd</w:t>
      </w:r>
      <w:r w:rsidR="00B6544E">
        <w:t>ated to reflect modifications w</w:t>
      </w:r>
      <w:r w:rsidR="002F2D1A">
        <w:t xml:space="preserve">ere made for SHIPM compliance (adding the specific SHIPM </w:t>
      </w:r>
      <w:r w:rsidR="00B6544E">
        <w:t>citation</w:t>
      </w:r>
      <w:r w:rsidR="002F2D1A">
        <w:t xml:space="preserve"> for easy reference).</w:t>
      </w:r>
    </w:p>
    <w:p w:rsidR="003D062E" w:rsidRDefault="00713D9B" w:rsidP="004F7DCD">
      <w:pPr>
        <w:pStyle w:val="ListParagraph"/>
        <w:numPr>
          <w:ilvl w:val="0"/>
          <w:numId w:val="12"/>
        </w:numPr>
      </w:pPr>
      <w:r w:rsidRPr="008C1C20">
        <w:t>K</w:t>
      </w:r>
      <w:r w:rsidR="00945441">
        <w:t>eep in mind, there is no “gold standard</w:t>
      </w:r>
      <w:r w:rsidRPr="008C1C20">
        <w:t>” template or format for policies and procedures</w:t>
      </w:r>
      <w:r>
        <w:t xml:space="preserve"> – it is important to create documents that are useful to the organization to ensure the practices are in place for compliance.</w:t>
      </w:r>
      <w:r w:rsidR="00255F29">
        <w:t xml:space="preserve">  </w:t>
      </w:r>
    </w:p>
    <w:p w:rsidR="00713D9B" w:rsidRDefault="00255F29" w:rsidP="003D062E">
      <w:pPr>
        <w:pStyle w:val="ListParagraph"/>
        <w:numPr>
          <w:ilvl w:val="1"/>
          <w:numId w:val="12"/>
        </w:numPr>
      </w:pPr>
      <w:r>
        <w:t>Using templates or “boiler plate” documents actually could put the organization at risk for non-compliance during audits if the reviewer</w:t>
      </w:r>
      <w:r w:rsidR="00DF40C2">
        <w:t>/auditor</w:t>
      </w:r>
      <w:r>
        <w:t xml:space="preserve"> finds the organization does not follow the ste</w:t>
      </w:r>
      <w:r w:rsidR="00C12ED8">
        <w:t>ps outlined in the documentation</w:t>
      </w:r>
      <w:r>
        <w:t>.</w:t>
      </w:r>
      <w:r w:rsidR="00713D9B">
        <w:t xml:space="preserve"> </w:t>
      </w:r>
    </w:p>
    <w:p w:rsidR="00B508CB" w:rsidRDefault="00B508CB" w:rsidP="0009174A">
      <w:pPr>
        <w:pStyle w:val="ListParagraph"/>
        <w:numPr>
          <w:ilvl w:val="0"/>
          <w:numId w:val="12"/>
        </w:numPr>
      </w:pPr>
      <w:r>
        <w:t xml:space="preserve">CalOHII has published the checklists used during Compliance Reviews – these are helpful when developing policies and procedures to ensure </w:t>
      </w:r>
      <w:r w:rsidR="00945441">
        <w:t>the department is</w:t>
      </w:r>
      <w:r>
        <w:t xml:space="preserve"> capturing all required elements.  </w:t>
      </w:r>
      <w:r w:rsidR="00CB43A8">
        <w:t xml:space="preserve">Checklists can be found on the CalOHII </w:t>
      </w:r>
      <w:hyperlink r:id="rId10" w:history="1">
        <w:r w:rsidR="00C85EFD" w:rsidRPr="00C85EFD">
          <w:rPr>
            <w:rStyle w:val="Hyperlink"/>
          </w:rPr>
          <w:t>Compliance Review Artifacts Checklists</w:t>
        </w:r>
      </w:hyperlink>
      <w:r w:rsidR="00C85EFD">
        <w:t xml:space="preserve"> </w:t>
      </w:r>
      <w:proofErr w:type="gramStart"/>
      <w:r w:rsidR="00C85EFD">
        <w:t>page</w:t>
      </w:r>
      <w:r w:rsidR="00001CAB">
        <w:t xml:space="preserve"> </w:t>
      </w:r>
      <w:r w:rsidR="0009174A">
        <w:t xml:space="preserve"> (</w:t>
      </w:r>
      <w:proofErr w:type="gramEnd"/>
      <w:r w:rsidR="0009174A" w:rsidRPr="0009174A">
        <w:t>https://www.chhs.ca.gov/ohii/compliance-review/compliance-review-artifacts-checklists/</w:t>
      </w:r>
      <w:r w:rsidR="00C85EFD">
        <w:t>)</w:t>
      </w:r>
      <w:r w:rsidR="00CB43A8">
        <w:t>.</w:t>
      </w:r>
    </w:p>
    <w:p w:rsidR="008D62F6" w:rsidRDefault="008D62F6" w:rsidP="008D62F6">
      <w:pPr>
        <w:pStyle w:val="ListParagraph"/>
        <w:numPr>
          <w:ilvl w:val="0"/>
          <w:numId w:val="12"/>
        </w:numPr>
      </w:pPr>
      <w:r>
        <w:t xml:space="preserve">Ensure all documentation is kept current and all changes/updates are tracked using a </w:t>
      </w:r>
      <w:r w:rsidR="00A033A0">
        <w:t>change log</w:t>
      </w:r>
      <w:r>
        <w:t xml:space="preserve"> – this demonstrates to reviewers and auditors that the organization performs periodic reviews/updates.</w:t>
      </w:r>
    </w:p>
    <w:p w:rsidR="008D62F6" w:rsidRDefault="008D62F6" w:rsidP="008D62F6">
      <w:pPr>
        <w:pStyle w:val="ListParagraph"/>
        <w:numPr>
          <w:ilvl w:val="1"/>
          <w:numId w:val="12"/>
        </w:numPr>
      </w:pPr>
      <w:r>
        <w:t>Incorporate policy and procedure documentation reviews into your project management process – this ensures system or operational changes are assessed for potential HIPAA impacts.</w:t>
      </w:r>
    </w:p>
    <w:p w:rsidR="00C85EFD" w:rsidRDefault="00C85EFD" w:rsidP="00C85EFD">
      <w:pPr>
        <w:pStyle w:val="ListParagraph"/>
        <w:numPr>
          <w:ilvl w:val="0"/>
          <w:numId w:val="12"/>
        </w:numPr>
      </w:pPr>
      <w:r>
        <w:lastRenderedPageBreak/>
        <w:t>Ensure all updates</w:t>
      </w:r>
      <w:r w:rsidR="001C09BE">
        <w:t xml:space="preserve"> are reviewed and approved by management.</w:t>
      </w:r>
    </w:p>
    <w:p w:rsidR="007A5498" w:rsidRPr="007E5D2C" w:rsidRDefault="007E5D2C" w:rsidP="007A5498">
      <w:r w:rsidRPr="007E5D2C">
        <w:t>Below are links to general information on policy and procedure development as well as ideas for presenting</w:t>
      </w:r>
      <w:r w:rsidR="004F7DCD">
        <w:t xml:space="preserve"> or formatting</w:t>
      </w:r>
      <w:r w:rsidRPr="007E5D2C">
        <w:t xml:space="preserve"> the information:</w:t>
      </w:r>
    </w:p>
    <w:p w:rsidR="007A5498" w:rsidRDefault="00B6544E" w:rsidP="0009174A">
      <w:pPr>
        <w:pStyle w:val="ListParagraph"/>
        <w:keepNext/>
        <w:keepLines/>
        <w:numPr>
          <w:ilvl w:val="0"/>
          <w:numId w:val="7"/>
        </w:numPr>
      </w:pPr>
      <w:r w:rsidRPr="001C09BE">
        <w:t xml:space="preserve">The </w:t>
      </w:r>
      <w:hyperlink r:id="rId11" w:history="1">
        <w:r w:rsidRPr="00F3217E">
          <w:rPr>
            <w:rStyle w:val="Hyperlink"/>
          </w:rPr>
          <w:t>Office for</w:t>
        </w:r>
        <w:r w:rsidR="007E5D2C" w:rsidRPr="00F3217E">
          <w:rPr>
            <w:rStyle w:val="Hyperlink"/>
          </w:rPr>
          <w:t xml:space="preserve"> Civil Rights (OCR)</w:t>
        </w:r>
      </w:hyperlink>
      <w:r w:rsidR="007E5D2C" w:rsidRPr="001C09BE">
        <w:t xml:space="preserve"> </w:t>
      </w:r>
      <w:r w:rsidR="0009174A">
        <w:t>(</w:t>
      </w:r>
      <w:r w:rsidR="0009174A" w:rsidRPr="0009174A">
        <w:t>https://www.hhs.gov/hipaa/for-professionals/index.html</w:t>
      </w:r>
      <w:r w:rsidR="0009174A">
        <w:t xml:space="preserve">) </w:t>
      </w:r>
      <w:r w:rsidR="007E5D2C" w:rsidRPr="001C09BE">
        <w:t xml:space="preserve">within </w:t>
      </w:r>
      <w:r w:rsidR="00DF40C2" w:rsidRPr="001C09BE">
        <w:t xml:space="preserve">the </w:t>
      </w:r>
      <w:r w:rsidR="00A033A0" w:rsidRPr="001C09BE">
        <w:t>U.S. Department of Health and Human Services (</w:t>
      </w:r>
      <w:r w:rsidR="007E5D2C" w:rsidRPr="001C09BE">
        <w:t>HHS</w:t>
      </w:r>
      <w:r w:rsidR="00A033A0" w:rsidRPr="001C09BE">
        <w:t>)</w:t>
      </w:r>
      <w:r w:rsidR="007E5D2C" w:rsidRPr="001C09BE">
        <w:t xml:space="preserve"> provides a number of tools for HIPAA</w:t>
      </w:r>
      <w:r w:rsidR="00F14BDF" w:rsidRPr="001C09BE">
        <w:t>.</w:t>
      </w:r>
      <w:r w:rsidR="00F14BDF">
        <w:t xml:space="preserve"> This site includes </w:t>
      </w:r>
      <w:r w:rsidR="007E5D2C">
        <w:t>an educational series</w:t>
      </w:r>
      <w:r w:rsidR="00DF40C2">
        <w:t xml:space="preserve"> on the HIPAA Security Rule</w:t>
      </w:r>
      <w:r w:rsidR="007E5D2C">
        <w:t xml:space="preserve"> with a topic specific to documentation – “</w:t>
      </w:r>
      <w:hyperlink r:id="rId12" w:history="1">
        <w:r w:rsidR="007E5D2C" w:rsidRPr="002C5063">
          <w:rPr>
            <w:rStyle w:val="Hyperlink"/>
          </w:rPr>
          <w:t>Organizational, Policies and Procedures and Documentation Requirements</w:t>
        </w:r>
        <w:r w:rsidRPr="002C5063">
          <w:rPr>
            <w:rStyle w:val="Hyperlink"/>
          </w:rPr>
          <w:t>.</w:t>
        </w:r>
      </w:hyperlink>
      <w:r w:rsidR="007E5D2C">
        <w:t>”</w:t>
      </w:r>
      <w:r w:rsidR="0009174A">
        <w:t xml:space="preserve"> (</w:t>
      </w:r>
      <w:r w:rsidR="0009174A" w:rsidRPr="0009174A">
        <w:t>http://www.hhs.gov/sites/default/files/ocr/privacy/hipaa/administrative/securityrule/pprequirements.pdf</w:t>
      </w:r>
      <w:r w:rsidR="0009174A">
        <w:t>)</w:t>
      </w:r>
    </w:p>
    <w:p w:rsidR="005E7465" w:rsidRDefault="005E7465" w:rsidP="00252628">
      <w:pPr>
        <w:pStyle w:val="Heading2"/>
      </w:pPr>
      <w:r>
        <w:t>P</w:t>
      </w:r>
      <w:r w:rsidR="004F7DCD">
        <w:t>olicies</w:t>
      </w:r>
      <w:r>
        <w:t>:</w:t>
      </w:r>
    </w:p>
    <w:p w:rsidR="00246D93" w:rsidRDefault="00246D93" w:rsidP="004F7DCD">
      <w:pPr>
        <w:pStyle w:val="ListParagraph"/>
        <w:numPr>
          <w:ilvl w:val="0"/>
          <w:numId w:val="12"/>
        </w:numPr>
      </w:pPr>
      <w:r w:rsidRPr="004F7DCD">
        <w:t>Policies</w:t>
      </w:r>
      <w:r>
        <w:t xml:space="preserve"> define an organization’s </w:t>
      </w:r>
      <w:r w:rsidR="008C1C20">
        <w:t>values and expected behaviors (the WHAT and WHY)</w:t>
      </w:r>
      <w:r>
        <w:t xml:space="preserve"> – they establish measurable objectives and expectations for the workforce, assign responsibility for decision making, and define enforcement and consequences for violations</w:t>
      </w:r>
      <w:r w:rsidRPr="004F7DCD">
        <w:rPr>
          <w:rStyle w:val="FootnoteReference"/>
        </w:rPr>
        <w:footnoteReference w:id="3"/>
      </w:r>
      <w:r>
        <w:t>.</w:t>
      </w:r>
    </w:p>
    <w:p w:rsidR="00C12ED8" w:rsidRDefault="005E7465" w:rsidP="00C12ED8">
      <w:pPr>
        <w:pStyle w:val="ListParagraph"/>
        <w:numPr>
          <w:ilvl w:val="0"/>
          <w:numId w:val="12"/>
        </w:numPr>
      </w:pPr>
      <w:r w:rsidRPr="005E7465">
        <w:t xml:space="preserve">Review the </w:t>
      </w:r>
      <w:r w:rsidR="004F7DCD">
        <w:t>State Administration Manual (</w:t>
      </w:r>
      <w:r w:rsidRPr="005E7465">
        <w:t>SAM</w:t>
      </w:r>
      <w:r w:rsidR="004F7DCD">
        <w:t>)</w:t>
      </w:r>
      <w:r w:rsidRPr="005E7465">
        <w:t xml:space="preserve"> and </w:t>
      </w:r>
      <w:r w:rsidR="008D62F6">
        <w:t xml:space="preserve">the </w:t>
      </w:r>
      <w:r w:rsidRPr="005E7465">
        <w:t>SIMM – many times the overall policy for a particular area has been defined by the State.  This can serve as a starting point for policy development.</w:t>
      </w:r>
    </w:p>
    <w:p w:rsidR="00ED3132" w:rsidRDefault="00ED3132" w:rsidP="0009174A">
      <w:pPr>
        <w:pStyle w:val="ListParagraph"/>
        <w:numPr>
          <w:ilvl w:val="0"/>
          <w:numId w:val="12"/>
        </w:numPr>
      </w:pPr>
      <w:r w:rsidRPr="00ED3132">
        <w:t xml:space="preserve">National Institute of Standards and Technology </w:t>
      </w:r>
      <w:r>
        <w:t xml:space="preserve">(NIST) offers detailed information about what system specific policy should address in their </w:t>
      </w:r>
      <w:hyperlink r:id="rId13" w:history="1">
        <w:r w:rsidRPr="002C5063">
          <w:rPr>
            <w:rStyle w:val="Hyperlink"/>
          </w:rPr>
          <w:t xml:space="preserve">Special Publication (SP) 800-14 </w:t>
        </w:r>
        <w:r w:rsidRPr="002C5063">
          <w:rPr>
            <w:rStyle w:val="Hyperlink"/>
            <w:i/>
          </w:rPr>
          <w:t>Generally Accepted Principles and Practices for Security Information Technology Systems</w:t>
        </w:r>
      </w:hyperlink>
      <w:r w:rsidR="00DF40C2">
        <w:t xml:space="preserve"> </w:t>
      </w:r>
      <w:r w:rsidR="0009174A">
        <w:t>(</w:t>
      </w:r>
      <w:r w:rsidR="0009174A" w:rsidRPr="0009174A">
        <w:t>http://csrc.nist.gov/publications/nistpubs/800-14/800-14.pdf</w:t>
      </w:r>
      <w:r w:rsidR="0009174A">
        <w:t xml:space="preserve">) </w:t>
      </w:r>
      <w:r w:rsidR="00DF40C2">
        <w:t>– refer to</w:t>
      </w:r>
      <w:r>
        <w:t xml:space="preserve"> Section 3.1 Policy.</w:t>
      </w:r>
    </w:p>
    <w:p w:rsidR="005E7465" w:rsidRDefault="005E7465" w:rsidP="00252628">
      <w:pPr>
        <w:pStyle w:val="Heading2"/>
      </w:pPr>
      <w:r>
        <w:t>Procedure</w:t>
      </w:r>
      <w:r w:rsidR="004F7DCD">
        <w:t>s</w:t>
      </w:r>
      <w:r>
        <w:t>:</w:t>
      </w:r>
    </w:p>
    <w:p w:rsidR="00246D93" w:rsidRPr="0028115F" w:rsidRDefault="00246D93" w:rsidP="004F7DCD">
      <w:pPr>
        <w:pStyle w:val="ListParagraph"/>
        <w:numPr>
          <w:ilvl w:val="0"/>
          <w:numId w:val="12"/>
        </w:numPr>
      </w:pPr>
      <w:r w:rsidRPr="004F7DCD">
        <w:t>Procedures</w:t>
      </w:r>
      <w:r>
        <w:t xml:space="preserve"> descr</w:t>
      </w:r>
      <w:r w:rsidR="0028115F">
        <w:t>ibe how the organization will carry</w:t>
      </w:r>
      <w:r>
        <w:t xml:space="preserve"> out the approach, setting forth explicit step-</w:t>
      </w:r>
      <w:r w:rsidRPr="0028115F">
        <w:t>by-step instructions on how to imple</w:t>
      </w:r>
      <w:r w:rsidR="008C1C20" w:rsidRPr="0028115F">
        <w:t>ment the organization’s policy (the HOW, WHERE and WHEN).</w:t>
      </w:r>
    </w:p>
    <w:p w:rsidR="00366A75" w:rsidRDefault="00366A75" w:rsidP="004F7DCD">
      <w:pPr>
        <w:pStyle w:val="ListParagraph"/>
        <w:numPr>
          <w:ilvl w:val="0"/>
          <w:numId w:val="7"/>
        </w:numPr>
      </w:pPr>
      <w:r w:rsidRPr="00366A75">
        <w:t>The goal</w:t>
      </w:r>
      <w:r w:rsidR="00245755">
        <w:t xml:space="preserve"> of procedures</w:t>
      </w:r>
      <w:r>
        <w:t xml:space="preserve"> is</w:t>
      </w:r>
      <w:r w:rsidR="006138BE">
        <w:t xml:space="preserve"> a useable document that promotes</w:t>
      </w:r>
      <w:r>
        <w:t xml:space="preserve"> consistent processes across the organization – this demonstrates consistent compliance to HIPAA regulations.</w:t>
      </w:r>
    </w:p>
    <w:p w:rsidR="00B6544E" w:rsidRDefault="00B6544E" w:rsidP="00B6544E">
      <w:pPr>
        <w:pStyle w:val="ListParagraph"/>
        <w:numPr>
          <w:ilvl w:val="1"/>
          <w:numId w:val="7"/>
        </w:numPr>
      </w:pPr>
      <w:r>
        <w:lastRenderedPageBreak/>
        <w:t>Logs and/or tracking mechanisms</w:t>
      </w:r>
      <w:r w:rsidR="00DF40C2">
        <w:t xml:space="preserve"> supporting the procedures</w:t>
      </w:r>
      <w:r>
        <w:t xml:space="preserve"> provide evidence of compliance</w:t>
      </w:r>
      <w:r w:rsidR="00B408CD">
        <w:t xml:space="preserve"> and help the organization demonstrate compliance during reviews or audits</w:t>
      </w:r>
      <w:r w:rsidR="00DF40C2">
        <w:t>.</w:t>
      </w:r>
    </w:p>
    <w:p w:rsidR="00B408CD" w:rsidRDefault="007D5476" w:rsidP="00B408CD">
      <w:pPr>
        <w:pStyle w:val="ListParagraph"/>
        <w:numPr>
          <w:ilvl w:val="2"/>
          <w:numId w:val="7"/>
        </w:numPr>
      </w:pPr>
      <w:r>
        <w:t>Examples include: logs that track authorizations for the release health information, system logs that indicate consistent security upgrades applied</w:t>
      </w:r>
      <w:r w:rsidR="00F249D3">
        <w:t>.</w:t>
      </w:r>
    </w:p>
    <w:p w:rsidR="0028115F" w:rsidRPr="00017854" w:rsidRDefault="005E7465" w:rsidP="004F7DCD">
      <w:pPr>
        <w:pStyle w:val="ListParagraph"/>
        <w:numPr>
          <w:ilvl w:val="0"/>
          <w:numId w:val="7"/>
        </w:numPr>
        <w:rPr>
          <w:u w:val="single"/>
        </w:rPr>
      </w:pPr>
      <w:r w:rsidRPr="0028115F">
        <w:t>Keep it simple and easy to understand – the language</w:t>
      </w:r>
      <w:r w:rsidR="003D062E">
        <w:t xml:space="preserve"> and format</w:t>
      </w:r>
      <w:r w:rsidRPr="0028115F">
        <w:t xml:space="preserve"> should be straight </w:t>
      </w:r>
      <w:r w:rsidR="003D062E">
        <w:t>forward.</w:t>
      </w:r>
      <w:r w:rsidR="00B6544E">
        <w:t xml:space="preserve">  The following provides tips and examples for developing procedure content:</w:t>
      </w:r>
      <w:r w:rsidRPr="0028115F">
        <w:t xml:space="preserve">  </w:t>
      </w:r>
    </w:p>
    <w:p w:rsidR="004F3BD0" w:rsidRDefault="004F3BD0" w:rsidP="00017854">
      <w:pPr>
        <w:pStyle w:val="ListParagraph"/>
        <w:numPr>
          <w:ilvl w:val="1"/>
          <w:numId w:val="7"/>
        </w:numPr>
      </w:pPr>
      <w:r>
        <w:t>Break down the process into step-by-step instructions</w:t>
      </w:r>
      <w:r w:rsidR="00B6544E">
        <w:t>.</w:t>
      </w:r>
    </w:p>
    <w:p w:rsidR="006138BE" w:rsidRDefault="006138BE" w:rsidP="006138BE">
      <w:pPr>
        <w:pStyle w:val="ListParagraph"/>
        <w:numPr>
          <w:ilvl w:val="2"/>
          <w:numId w:val="7"/>
        </w:numPr>
      </w:pPr>
      <w:r>
        <w:t>How should the process be completed?  Define the specific activities and ensure they are in the proper order.</w:t>
      </w:r>
    </w:p>
    <w:p w:rsidR="006138BE" w:rsidRDefault="006138BE" w:rsidP="006138BE">
      <w:pPr>
        <w:pStyle w:val="ListParagraph"/>
        <w:numPr>
          <w:ilvl w:val="2"/>
          <w:numId w:val="7"/>
        </w:numPr>
      </w:pPr>
      <w:r>
        <w:t>When are the activities to be completed?</w:t>
      </w:r>
      <w:r w:rsidR="00DF40C2">
        <w:t xml:space="preserve">  </w:t>
      </w:r>
    </w:p>
    <w:p w:rsidR="006138BE" w:rsidRDefault="006138BE" w:rsidP="006138BE">
      <w:pPr>
        <w:pStyle w:val="ListParagraph"/>
        <w:numPr>
          <w:ilvl w:val="2"/>
          <w:numId w:val="7"/>
        </w:numPr>
      </w:pPr>
      <w:r>
        <w:t>Where the activities should be completed?</w:t>
      </w:r>
    </w:p>
    <w:p w:rsidR="006138BE" w:rsidRDefault="006138BE" w:rsidP="00AB6597">
      <w:pPr>
        <w:pStyle w:val="ListParagraph"/>
        <w:numPr>
          <w:ilvl w:val="1"/>
          <w:numId w:val="7"/>
        </w:numPr>
      </w:pPr>
      <w:r>
        <w:t>Document any materials, equipment, or supplies needed</w:t>
      </w:r>
      <w:r w:rsidR="00B6544E">
        <w:t>.</w:t>
      </w:r>
    </w:p>
    <w:p w:rsidR="00AB6597" w:rsidRDefault="00AB6597" w:rsidP="00AB6597">
      <w:pPr>
        <w:pStyle w:val="ListParagraph"/>
        <w:numPr>
          <w:ilvl w:val="1"/>
          <w:numId w:val="7"/>
        </w:numPr>
      </w:pPr>
      <w:r>
        <w:t>Reference applicable laws, regulations or standards to follow</w:t>
      </w:r>
      <w:r w:rsidR="00B6544E">
        <w:t>.</w:t>
      </w:r>
    </w:p>
    <w:p w:rsidR="00AB6597" w:rsidRPr="004F3BD0" w:rsidRDefault="00AB6597" w:rsidP="00AB6597">
      <w:pPr>
        <w:pStyle w:val="ListParagraph"/>
        <w:numPr>
          <w:ilvl w:val="1"/>
          <w:numId w:val="7"/>
        </w:numPr>
      </w:pPr>
      <w:r>
        <w:t>Provide templates for logs, forms, communications, reports, etc.</w:t>
      </w:r>
      <w:r w:rsidR="00DF40C2">
        <w:t xml:space="preserve"> to ensure consistency.</w:t>
      </w:r>
    </w:p>
    <w:p w:rsidR="00017854" w:rsidRPr="004F3BD0" w:rsidRDefault="00017854" w:rsidP="00017854">
      <w:pPr>
        <w:pStyle w:val="ListParagraph"/>
        <w:numPr>
          <w:ilvl w:val="1"/>
          <w:numId w:val="7"/>
        </w:numPr>
        <w:rPr>
          <w:u w:val="single"/>
        </w:rPr>
      </w:pPr>
      <w:r>
        <w:t>Process flow</w:t>
      </w:r>
      <w:r w:rsidR="008D62F6">
        <w:t xml:space="preserve"> diagrams</w:t>
      </w:r>
      <w:r>
        <w:t xml:space="preserve"> or flow charts can help illustrates steps of the procedure</w:t>
      </w:r>
      <w:r w:rsidR="00B6544E">
        <w:t>.</w:t>
      </w:r>
    </w:p>
    <w:p w:rsidR="004F3BD0" w:rsidRPr="00B6544E" w:rsidRDefault="004F3BD0" w:rsidP="00B6544E">
      <w:pPr>
        <w:pStyle w:val="ListParagraph"/>
        <w:numPr>
          <w:ilvl w:val="1"/>
          <w:numId w:val="7"/>
        </w:numPr>
        <w:rPr>
          <w:u w:val="single"/>
        </w:rPr>
      </w:pPr>
      <w:r>
        <w:t>Keep the format of procedure documentation consistent</w:t>
      </w:r>
      <w:r w:rsidR="00DF40C2">
        <w:t xml:space="preserve"> across the organization for all procedures created</w:t>
      </w:r>
      <w:r>
        <w:t xml:space="preserve"> – this helps users know where items can be found across procedures.</w:t>
      </w:r>
      <w:r w:rsidR="00366A75">
        <w:t xml:space="preserve">  For example</w:t>
      </w:r>
      <w:r w:rsidR="00B6544E">
        <w:t>, a</w:t>
      </w:r>
      <w:r>
        <w:t>ll procedure documentation has the same sections, in the same order.</w:t>
      </w:r>
      <w:r w:rsidR="00366A75">
        <w:t xml:space="preserve">  </w:t>
      </w:r>
      <w:r w:rsidR="00B6544E">
        <w:t>Such as, each procedure document is broken into the following sections:</w:t>
      </w:r>
    </w:p>
    <w:p w:rsidR="00B6544E" w:rsidRPr="00B6544E" w:rsidRDefault="00B6544E" w:rsidP="00B6544E">
      <w:pPr>
        <w:pStyle w:val="ListParagraph"/>
        <w:numPr>
          <w:ilvl w:val="2"/>
          <w:numId w:val="7"/>
        </w:numPr>
        <w:rPr>
          <w:u w:val="single"/>
        </w:rPr>
      </w:pPr>
      <w:r>
        <w:t>Policy</w:t>
      </w:r>
    </w:p>
    <w:p w:rsidR="00B6544E" w:rsidRPr="00B6544E" w:rsidRDefault="00B6544E" w:rsidP="00B6544E">
      <w:pPr>
        <w:pStyle w:val="ListParagraph"/>
        <w:numPr>
          <w:ilvl w:val="2"/>
          <w:numId w:val="7"/>
        </w:numPr>
        <w:rPr>
          <w:u w:val="single"/>
        </w:rPr>
      </w:pPr>
      <w:r>
        <w:t>Procedure – begins with step-by-step, followed by a process flow</w:t>
      </w:r>
    </w:p>
    <w:p w:rsidR="00B6544E" w:rsidRPr="00B6544E" w:rsidRDefault="00B6544E" w:rsidP="00B6544E">
      <w:pPr>
        <w:pStyle w:val="ListParagraph"/>
        <w:numPr>
          <w:ilvl w:val="2"/>
          <w:numId w:val="7"/>
        </w:numPr>
        <w:rPr>
          <w:u w:val="single"/>
        </w:rPr>
      </w:pPr>
      <w:r>
        <w:t>Templates</w:t>
      </w:r>
    </w:p>
    <w:p w:rsidR="00B6544E" w:rsidRPr="00B6544E" w:rsidRDefault="00B6544E" w:rsidP="00B6544E">
      <w:pPr>
        <w:pStyle w:val="ListParagraph"/>
        <w:numPr>
          <w:ilvl w:val="2"/>
          <w:numId w:val="7"/>
        </w:numPr>
        <w:rPr>
          <w:u w:val="single"/>
        </w:rPr>
      </w:pPr>
      <w:r>
        <w:t>Cross-reference to other procedures</w:t>
      </w:r>
    </w:p>
    <w:p w:rsidR="0080750F" w:rsidRDefault="00B6544E" w:rsidP="0080750F">
      <w:pPr>
        <w:pStyle w:val="ListParagraph"/>
        <w:numPr>
          <w:ilvl w:val="1"/>
          <w:numId w:val="7"/>
        </w:numPr>
        <w:spacing w:after="0" w:line="240" w:lineRule="auto"/>
      </w:pPr>
      <w:r>
        <w:t>All procedure documentation has the same look – same font, headers, etc.</w:t>
      </w:r>
      <w:r w:rsidR="00366A75">
        <w:t xml:space="preserve"> </w:t>
      </w:r>
    </w:p>
    <w:p w:rsidR="00F3217E" w:rsidRDefault="00F3217E" w:rsidP="0080750F">
      <w:pPr>
        <w:rPr>
          <w:b/>
        </w:rPr>
      </w:pPr>
    </w:p>
    <w:p w:rsidR="0080750F" w:rsidRDefault="0080750F" w:rsidP="0080750F">
      <w:r w:rsidRPr="0080750F">
        <w:rPr>
          <w:b/>
        </w:rPr>
        <w:t>Dis</w:t>
      </w:r>
      <w:bookmarkStart w:id="0" w:name="_GoBack"/>
      <w:bookmarkEnd w:id="0"/>
      <w:r w:rsidRPr="0080750F">
        <w:rPr>
          <w:b/>
        </w:rPr>
        <w:t>claimer:</w:t>
      </w:r>
      <w:r>
        <w:t xml:space="preserve">  CalOHII provides departments with this document as a guide, we offer the information which includes some external sources. This list and associated links are not exhaustive. CalOHII does not endorse or validate websites external to CalOHII.</w:t>
      </w:r>
    </w:p>
    <w:p w:rsidR="0080750F" w:rsidRDefault="0080750F" w:rsidP="0080750F">
      <w:pPr>
        <w:spacing w:after="0" w:line="240" w:lineRule="auto"/>
      </w:pPr>
    </w:p>
    <w:sectPr w:rsidR="0080750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46" w:rsidRDefault="00913F46" w:rsidP="00913F46">
      <w:pPr>
        <w:spacing w:after="0" w:line="240" w:lineRule="auto"/>
      </w:pPr>
      <w:r>
        <w:separator/>
      </w:r>
    </w:p>
  </w:endnote>
  <w:endnote w:type="continuationSeparator" w:id="0">
    <w:p w:rsidR="00913F46" w:rsidRDefault="00913F46" w:rsidP="0091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2C" w:rsidRDefault="00C85EF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Updated:  01</w:t>
    </w:r>
    <w:r w:rsidR="00CB43A8">
      <w:rPr>
        <w:rFonts w:asciiTheme="majorHAnsi" w:eastAsiaTheme="majorEastAsia" w:hAnsiTheme="majorHAnsi" w:cstheme="majorBidi"/>
      </w:rPr>
      <w:t>/201</w:t>
    </w:r>
    <w:r>
      <w:rPr>
        <w:rFonts w:asciiTheme="majorHAnsi" w:eastAsiaTheme="majorEastAsia" w:hAnsiTheme="majorHAnsi" w:cstheme="majorBidi"/>
      </w:rPr>
      <w:t>9</w:t>
    </w:r>
    <w:r w:rsidR="0029432C">
      <w:rPr>
        <w:rFonts w:asciiTheme="majorHAnsi" w:eastAsiaTheme="majorEastAsia" w:hAnsiTheme="majorHAnsi" w:cstheme="majorBidi"/>
      </w:rPr>
      <w:ptab w:relativeTo="margin" w:alignment="right" w:leader="none"/>
    </w:r>
    <w:r w:rsidR="0029432C">
      <w:rPr>
        <w:rFonts w:asciiTheme="majorHAnsi" w:eastAsiaTheme="majorEastAsia" w:hAnsiTheme="majorHAnsi" w:cstheme="majorBidi"/>
      </w:rPr>
      <w:t xml:space="preserve">Page </w:t>
    </w:r>
    <w:r w:rsidR="0029432C">
      <w:rPr>
        <w:rFonts w:asciiTheme="minorHAnsi" w:eastAsiaTheme="minorEastAsia" w:hAnsiTheme="minorHAnsi"/>
      </w:rPr>
      <w:fldChar w:fldCharType="begin"/>
    </w:r>
    <w:r w:rsidR="0029432C">
      <w:instrText xml:space="preserve"> PAGE   \* MERGEFORMAT </w:instrText>
    </w:r>
    <w:r w:rsidR="0029432C">
      <w:rPr>
        <w:rFonts w:asciiTheme="minorHAnsi" w:eastAsiaTheme="minorEastAsia" w:hAnsiTheme="minorHAnsi"/>
      </w:rPr>
      <w:fldChar w:fldCharType="separate"/>
    </w:r>
    <w:r w:rsidR="00431775" w:rsidRPr="00431775">
      <w:rPr>
        <w:rFonts w:asciiTheme="majorHAnsi" w:eastAsiaTheme="majorEastAsia" w:hAnsiTheme="majorHAnsi" w:cstheme="majorBidi"/>
        <w:noProof/>
      </w:rPr>
      <w:t>4</w:t>
    </w:r>
    <w:r w:rsidR="0029432C">
      <w:rPr>
        <w:rFonts w:asciiTheme="majorHAnsi" w:eastAsiaTheme="majorEastAsia" w:hAnsiTheme="majorHAnsi" w:cstheme="majorBidi"/>
        <w:noProof/>
      </w:rPr>
      <w:fldChar w:fldCharType="end"/>
    </w:r>
  </w:p>
  <w:p w:rsidR="0029432C" w:rsidRDefault="00294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46" w:rsidRDefault="00913F46" w:rsidP="00913F46">
      <w:pPr>
        <w:spacing w:after="0" w:line="240" w:lineRule="auto"/>
      </w:pPr>
      <w:r>
        <w:separator/>
      </w:r>
    </w:p>
  </w:footnote>
  <w:footnote w:type="continuationSeparator" w:id="0">
    <w:p w:rsidR="00913F46" w:rsidRDefault="00913F46" w:rsidP="00913F46">
      <w:pPr>
        <w:spacing w:after="0" w:line="240" w:lineRule="auto"/>
      </w:pPr>
      <w:r>
        <w:continuationSeparator/>
      </w:r>
    </w:p>
  </w:footnote>
  <w:footnote w:id="1">
    <w:p w:rsidR="00B82C0B" w:rsidRDefault="00B82C0B">
      <w:pPr>
        <w:pStyle w:val="FootnoteText"/>
      </w:pPr>
      <w:r>
        <w:rPr>
          <w:rStyle w:val="FootnoteReference"/>
        </w:rPr>
        <w:footnoteRef/>
      </w:r>
      <w:r>
        <w:t xml:space="preserve"> 45 CFR 164.306(b)(2)</w:t>
      </w:r>
    </w:p>
  </w:footnote>
  <w:footnote w:id="2">
    <w:p w:rsidR="007A5498" w:rsidRDefault="007A54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E5D2C">
        <w:t>State of California ISO</w:t>
      </w:r>
      <w:r w:rsidR="00B17B2A">
        <w:t xml:space="preserve">. (September 2013). </w:t>
      </w:r>
      <w:hyperlink r:id="rId1" w:history="1">
        <w:r w:rsidR="007E5D2C" w:rsidRPr="00F3217E">
          <w:rPr>
            <w:rStyle w:val="Hyperlink"/>
          </w:rPr>
          <w:t>Information Security Program Management Standard</w:t>
        </w:r>
        <w:r w:rsidR="00B17B2A" w:rsidRPr="00F3217E">
          <w:rPr>
            <w:rStyle w:val="Hyperlink"/>
          </w:rPr>
          <w:t>.</w:t>
        </w:r>
        <w:r w:rsidR="007E5D2C" w:rsidRPr="00F3217E">
          <w:rPr>
            <w:rStyle w:val="Hyperlink"/>
          </w:rPr>
          <w:t xml:space="preserve"> </w:t>
        </w:r>
        <w:r w:rsidR="007E5D2C" w:rsidRPr="00F3217E">
          <w:rPr>
            <w:rStyle w:val="Hyperlink"/>
            <w:i/>
          </w:rPr>
          <w:t>SIMM 5305-A</w:t>
        </w:r>
      </w:hyperlink>
      <w:r w:rsidR="0009174A">
        <w:t xml:space="preserve"> (</w:t>
      </w:r>
      <w:r w:rsidR="0009174A" w:rsidRPr="0009174A">
        <w:t>https://cdt.ca.gov/wp-content/uploads/2018/01/SIMM-5305_A_2018-0108.pdf</w:t>
      </w:r>
      <w:r w:rsidR="0009174A">
        <w:t>)</w:t>
      </w:r>
      <w:r w:rsidR="007E5D2C">
        <w:t xml:space="preserve"> p. 19 </w:t>
      </w:r>
    </w:p>
  </w:footnote>
  <w:footnote w:id="3">
    <w:p w:rsidR="00246D93" w:rsidRDefault="00246D93">
      <w:pPr>
        <w:pStyle w:val="FootnoteText"/>
      </w:pPr>
      <w:r>
        <w:rPr>
          <w:rStyle w:val="FootnoteReference"/>
        </w:rPr>
        <w:footnoteRef/>
      </w:r>
      <w:r>
        <w:t xml:space="preserve"> CMS</w:t>
      </w:r>
      <w:r w:rsidR="00B17B2A">
        <w:t xml:space="preserve">. (2007). </w:t>
      </w:r>
      <w:hyperlink r:id="rId2" w:history="1">
        <w:r w:rsidRPr="00513E80">
          <w:rPr>
            <w:rStyle w:val="Hyperlink"/>
          </w:rPr>
          <w:t>Organizational, Policies and Procedures and Documentation Requirements</w:t>
        </w:r>
      </w:hyperlink>
      <w:r w:rsidR="00B17B2A">
        <w:t>.</w:t>
      </w:r>
      <w:r w:rsidR="0009174A">
        <w:t xml:space="preserve"> (</w:t>
      </w:r>
      <w:r w:rsidR="0009174A" w:rsidRPr="0009174A">
        <w:t>http://www.hhs.gov/sites/default/files/ocr/privacy/hipaa/administrative/securityrule/pprequirements.pdf</w:t>
      </w:r>
      <w:r w:rsidR="0009174A">
        <w:t>)</w:t>
      </w:r>
      <w:r w:rsidR="00B17B2A">
        <w:t xml:space="preserve"> </w:t>
      </w:r>
      <w:r w:rsidR="00B17B2A" w:rsidRPr="00B17B2A">
        <w:rPr>
          <w:i/>
        </w:rPr>
        <w:t>Security Rule Educational Paper Series</w:t>
      </w:r>
      <w:r w:rsidR="00B17B2A">
        <w:rPr>
          <w:i/>
        </w:rPr>
        <w:t>,</w:t>
      </w:r>
      <w:r>
        <w:t xml:space="preserve"> p. 6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2C" w:rsidRDefault="00252628" w:rsidP="00431775">
    <w:pPr>
      <w:pStyle w:val="Header"/>
      <w:pBdr>
        <w:bottom w:val="single" w:sz="24" w:space="1" w:color="auto"/>
      </w:pBdr>
      <w:spacing w:after="240"/>
      <w:jc w:val="center"/>
    </w:pPr>
    <w:r w:rsidRPr="00252628">
      <w:rPr>
        <w:b/>
        <w:sz w:val="32"/>
        <w:szCs w:val="32"/>
      </w:rPr>
      <w:t>Policies and Procedures – Tips and Tools</w:t>
    </w:r>
    <w:r>
      <w:rPr>
        <w:b/>
        <w:sz w:val="32"/>
        <w:szCs w:val="32"/>
      </w:rPr>
      <w:tab/>
    </w:r>
    <w:r w:rsidR="002C5063" w:rsidRPr="0080750F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1300480" cy="597535"/>
          <wp:effectExtent l="0" t="0" r="0" b="0"/>
          <wp:docPr id="5" name="Picture 5" descr="CalOHII Logo w Agency (3)" title="CalOHI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lOHII Logo w Agency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FEC"/>
    <w:multiLevelType w:val="hybridMultilevel"/>
    <w:tmpl w:val="63C85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961F4"/>
    <w:multiLevelType w:val="hybridMultilevel"/>
    <w:tmpl w:val="50461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672E7"/>
    <w:multiLevelType w:val="hybridMultilevel"/>
    <w:tmpl w:val="B96C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14D"/>
    <w:multiLevelType w:val="hybridMultilevel"/>
    <w:tmpl w:val="77009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860FCA"/>
    <w:multiLevelType w:val="hybridMultilevel"/>
    <w:tmpl w:val="87601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28533B"/>
    <w:multiLevelType w:val="hybridMultilevel"/>
    <w:tmpl w:val="8736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62D9"/>
    <w:multiLevelType w:val="hybridMultilevel"/>
    <w:tmpl w:val="BC8A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261EC"/>
    <w:multiLevelType w:val="hybridMultilevel"/>
    <w:tmpl w:val="E29278C4"/>
    <w:lvl w:ilvl="0" w:tplc="AA7E20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145A5"/>
    <w:multiLevelType w:val="hybridMultilevel"/>
    <w:tmpl w:val="3EA6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638A7"/>
    <w:multiLevelType w:val="hybridMultilevel"/>
    <w:tmpl w:val="289C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72EB5"/>
    <w:multiLevelType w:val="hybridMultilevel"/>
    <w:tmpl w:val="0EB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37732"/>
    <w:multiLevelType w:val="hybridMultilevel"/>
    <w:tmpl w:val="4DBA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F05C1"/>
    <w:multiLevelType w:val="hybridMultilevel"/>
    <w:tmpl w:val="957C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FC"/>
    <w:rsid w:val="00001CAB"/>
    <w:rsid w:val="00017854"/>
    <w:rsid w:val="00071F2F"/>
    <w:rsid w:val="0009174A"/>
    <w:rsid w:val="00091953"/>
    <w:rsid w:val="000B6059"/>
    <w:rsid w:val="000C31B5"/>
    <w:rsid w:val="000C4F27"/>
    <w:rsid w:val="001B4670"/>
    <w:rsid w:val="001C09BE"/>
    <w:rsid w:val="00213681"/>
    <w:rsid w:val="00232F10"/>
    <w:rsid w:val="00236EAA"/>
    <w:rsid w:val="00245755"/>
    <w:rsid w:val="00246D93"/>
    <w:rsid w:val="002472EF"/>
    <w:rsid w:val="00252628"/>
    <w:rsid w:val="00255F29"/>
    <w:rsid w:val="00256B5D"/>
    <w:rsid w:val="00276A17"/>
    <w:rsid w:val="0028115F"/>
    <w:rsid w:val="0029432C"/>
    <w:rsid w:val="00296485"/>
    <w:rsid w:val="002A2D2E"/>
    <w:rsid w:val="002C5063"/>
    <w:rsid w:val="002C5974"/>
    <w:rsid w:val="002E2743"/>
    <w:rsid w:val="002F2D1A"/>
    <w:rsid w:val="00354316"/>
    <w:rsid w:val="00366A75"/>
    <w:rsid w:val="00371778"/>
    <w:rsid w:val="00371F1B"/>
    <w:rsid w:val="003D062E"/>
    <w:rsid w:val="003D3860"/>
    <w:rsid w:val="003F351D"/>
    <w:rsid w:val="00400778"/>
    <w:rsid w:val="00431775"/>
    <w:rsid w:val="00462A54"/>
    <w:rsid w:val="00491E5E"/>
    <w:rsid w:val="00495994"/>
    <w:rsid w:val="004D3C18"/>
    <w:rsid w:val="004E6238"/>
    <w:rsid w:val="004F3BD0"/>
    <w:rsid w:val="004F7DCD"/>
    <w:rsid w:val="00513E80"/>
    <w:rsid w:val="005574E3"/>
    <w:rsid w:val="0059302C"/>
    <w:rsid w:val="005B6D97"/>
    <w:rsid w:val="005E7465"/>
    <w:rsid w:val="00601C32"/>
    <w:rsid w:val="006138BE"/>
    <w:rsid w:val="006705D1"/>
    <w:rsid w:val="00713D9B"/>
    <w:rsid w:val="00746D8D"/>
    <w:rsid w:val="00782B0E"/>
    <w:rsid w:val="00792928"/>
    <w:rsid w:val="00792E74"/>
    <w:rsid w:val="007A5498"/>
    <w:rsid w:val="007C0BCB"/>
    <w:rsid w:val="007D538D"/>
    <w:rsid w:val="007D5476"/>
    <w:rsid w:val="007E5D2C"/>
    <w:rsid w:val="007F0103"/>
    <w:rsid w:val="007F61BA"/>
    <w:rsid w:val="0080750F"/>
    <w:rsid w:val="00827249"/>
    <w:rsid w:val="00845BC3"/>
    <w:rsid w:val="00866E16"/>
    <w:rsid w:val="00866FDC"/>
    <w:rsid w:val="00893551"/>
    <w:rsid w:val="00897C50"/>
    <w:rsid w:val="008B09C0"/>
    <w:rsid w:val="008C1C20"/>
    <w:rsid w:val="008D1EED"/>
    <w:rsid w:val="008D62F6"/>
    <w:rsid w:val="008E1568"/>
    <w:rsid w:val="008E7203"/>
    <w:rsid w:val="00912F9A"/>
    <w:rsid w:val="00913F46"/>
    <w:rsid w:val="00945441"/>
    <w:rsid w:val="009770D7"/>
    <w:rsid w:val="009810E0"/>
    <w:rsid w:val="009E6C05"/>
    <w:rsid w:val="009F0EF6"/>
    <w:rsid w:val="00A033A0"/>
    <w:rsid w:val="00A10A5A"/>
    <w:rsid w:val="00A65539"/>
    <w:rsid w:val="00A71BD4"/>
    <w:rsid w:val="00A81FB7"/>
    <w:rsid w:val="00A82D49"/>
    <w:rsid w:val="00AB6597"/>
    <w:rsid w:val="00AC132A"/>
    <w:rsid w:val="00AE0CD8"/>
    <w:rsid w:val="00AE44EB"/>
    <w:rsid w:val="00AF0B31"/>
    <w:rsid w:val="00AF7562"/>
    <w:rsid w:val="00B17B2A"/>
    <w:rsid w:val="00B17F75"/>
    <w:rsid w:val="00B408CD"/>
    <w:rsid w:val="00B50244"/>
    <w:rsid w:val="00B508CB"/>
    <w:rsid w:val="00B6544E"/>
    <w:rsid w:val="00B82C0B"/>
    <w:rsid w:val="00B848DB"/>
    <w:rsid w:val="00BF1C26"/>
    <w:rsid w:val="00C07C75"/>
    <w:rsid w:val="00C12ED8"/>
    <w:rsid w:val="00C167B5"/>
    <w:rsid w:val="00C56037"/>
    <w:rsid w:val="00C85EFD"/>
    <w:rsid w:val="00C97FCF"/>
    <w:rsid w:val="00CA0463"/>
    <w:rsid w:val="00CB43A8"/>
    <w:rsid w:val="00D11B7C"/>
    <w:rsid w:val="00D15E3E"/>
    <w:rsid w:val="00D32B73"/>
    <w:rsid w:val="00D8124C"/>
    <w:rsid w:val="00D9261F"/>
    <w:rsid w:val="00DD7562"/>
    <w:rsid w:val="00DE019C"/>
    <w:rsid w:val="00DF40C2"/>
    <w:rsid w:val="00DF6C5C"/>
    <w:rsid w:val="00E0465C"/>
    <w:rsid w:val="00E055FC"/>
    <w:rsid w:val="00E37B4E"/>
    <w:rsid w:val="00E420F4"/>
    <w:rsid w:val="00E94B66"/>
    <w:rsid w:val="00EB5B24"/>
    <w:rsid w:val="00EC69F8"/>
    <w:rsid w:val="00ED3132"/>
    <w:rsid w:val="00EE2B28"/>
    <w:rsid w:val="00F14BDF"/>
    <w:rsid w:val="00F15F85"/>
    <w:rsid w:val="00F22D14"/>
    <w:rsid w:val="00F249D3"/>
    <w:rsid w:val="00F3217E"/>
    <w:rsid w:val="00F62249"/>
    <w:rsid w:val="00F65BF4"/>
    <w:rsid w:val="00FE1F7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DCBA31"/>
  <w15:docId w15:val="{424F202F-4020-4BB7-8D58-954B7917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628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628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FC"/>
    <w:pPr>
      <w:ind w:left="720"/>
      <w:contextualSpacing/>
    </w:pPr>
  </w:style>
  <w:style w:type="table" w:styleId="TableGrid">
    <w:name w:val="Table Grid"/>
    <w:basedOn w:val="TableNormal"/>
    <w:uiPriority w:val="59"/>
    <w:rsid w:val="00E0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3F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F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F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70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2C"/>
  </w:style>
  <w:style w:type="paragraph" w:styleId="Footer">
    <w:name w:val="footer"/>
    <w:basedOn w:val="Normal"/>
    <w:link w:val="FooterChar"/>
    <w:uiPriority w:val="99"/>
    <w:unhideWhenUsed/>
    <w:rsid w:val="0029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2C"/>
  </w:style>
  <w:style w:type="paragraph" w:styleId="BalloonText">
    <w:name w:val="Balloon Text"/>
    <w:basedOn w:val="Normal"/>
    <w:link w:val="BalloonTextChar"/>
    <w:uiPriority w:val="99"/>
    <w:semiHidden/>
    <w:unhideWhenUsed/>
    <w:rsid w:val="0029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B09C0"/>
    <w:rPr>
      <w:color w:val="800080" w:themeColor="followedHyperlink"/>
      <w:u w:val="single"/>
    </w:rPr>
  </w:style>
  <w:style w:type="character" w:customStyle="1" w:styleId="st1">
    <w:name w:val="st1"/>
    <w:basedOn w:val="DefaultParagraphFont"/>
    <w:rsid w:val="00ED3132"/>
  </w:style>
  <w:style w:type="paragraph" w:styleId="NormalWeb">
    <w:name w:val="Normal (Web)"/>
    <w:basedOn w:val="Normal"/>
    <w:uiPriority w:val="99"/>
    <w:semiHidden/>
    <w:unhideWhenUsed/>
    <w:rsid w:val="0080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2628"/>
    <w:rPr>
      <w:rFonts w:ascii="Arial" w:eastAsiaTheme="majorEastAsia" w:hAnsi="Arial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2628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hs.ca.gov/ohii/shipm/" TargetMode="External"/><Relationship Id="rId13" Type="http://schemas.openxmlformats.org/officeDocument/2006/relationships/hyperlink" Target="http://csrc.nist.gov/publications/nistpubs/800-14/800-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hs.gov/sites/default/files/ocr/privacy/hipaa/administrative/securityrule/pprequirement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hs.gov/hipaa/for-professionals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hhs.ca.gov/ohii/compliance-review/compliance-review-artifacts-checkli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hs.ca.gov/ohii/compliance-review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hs.gov/sites/default/files/ocr/privacy/hipaa/administrative/securityrule/pprequirements.pdf" TargetMode="External"/><Relationship Id="rId1" Type="http://schemas.openxmlformats.org/officeDocument/2006/relationships/hyperlink" Target="https://cdt.ca.gov/wp-content/uploads/2018/01/SIMM-5305_A_2018-01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9AC1-33D1-48F4-9AA3-15782883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1349</Words>
  <Characters>7112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Policies and Procedures – Tips and Tools</vt:lpstr>
    </vt:vector>
  </TitlesOfParts>
  <Company>CalOHII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 and Procedures – Tips and Tools</dc:title>
  <dc:subject>Tips for creating policies and procedures</dc:subject>
  <dc:creator>CalOHII</dc:creator>
  <cp:keywords>policies, procedures, tips</cp:keywords>
  <cp:lastModifiedBy>Babb, Rochelle@OHI</cp:lastModifiedBy>
  <cp:revision>5</cp:revision>
  <cp:lastPrinted>2016-02-23T15:31:00Z</cp:lastPrinted>
  <dcterms:created xsi:type="dcterms:W3CDTF">2019-06-12T19:15:00Z</dcterms:created>
  <dcterms:modified xsi:type="dcterms:W3CDTF">2019-06-18T16:04:00Z</dcterms:modified>
</cp:coreProperties>
</file>