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B15C" w14:textId="707C2E70" w:rsidR="001701A1" w:rsidRDefault="001701A1" w:rsidP="00252A4D">
      <w:pPr>
        <w:pStyle w:val="Heading1"/>
        <w:tabs>
          <w:tab w:val="clear" w:pos="4680"/>
        </w:tabs>
      </w:pPr>
      <w:r>
        <w:t xml:space="preserve">Telehealth </w:t>
      </w:r>
      <w:r w:rsidRPr="001701A1">
        <w:t>Readiness</w:t>
      </w:r>
      <w:r>
        <w:t xml:space="preserve"> Tool</w:t>
      </w:r>
      <w:r>
        <w:tab/>
        <w:t xml:space="preserve"> </w:t>
      </w:r>
      <w:r>
        <w:rPr>
          <w:rFonts w:ascii="Calibri" w:eastAsia="Times New Roman" w:hAnsi="Calibri" w:cs="Calibri"/>
          <w:noProof/>
          <w:color w:val="000000"/>
          <w:shd w:val="clear" w:color="auto" w:fill="FFFFFF"/>
        </w:rPr>
        <w:drawing>
          <wp:inline distT="0" distB="0" distL="0" distR="0" wp14:anchorId="0016E5C6" wp14:editId="2246111C">
            <wp:extent cx="1250950" cy="508861"/>
            <wp:effectExtent l="0" t="0" r="0" b="5715"/>
            <wp:docPr id="2" name="Picture 2" descr="Center for Data Insights and Innovation (California Health &amp; Human Services Agency)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b7736e9-9df8-49a6-b09e-9141c6f3dbe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73" cy="52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1D4F" w14:textId="30E4D110" w:rsidR="003F7D11" w:rsidRDefault="00E22929" w:rsidP="00252A4D">
      <w:pPr>
        <w:spacing w:before="240"/>
      </w:pPr>
      <w:r w:rsidRPr="00EB5DCB">
        <w:t>T</w:t>
      </w:r>
      <w:r w:rsidR="00755645" w:rsidRPr="00EB5DCB">
        <w:t xml:space="preserve">he </w:t>
      </w:r>
      <w:r w:rsidR="00755645" w:rsidRPr="00BD0FA2">
        <w:rPr>
          <w:i/>
        </w:rPr>
        <w:t>Statewide Health Information Policy Manual</w:t>
      </w:r>
      <w:r w:rsidR="00755645" w:rsidRPr="00BD0FA2">
        <w:t xml:space="preserve"> (SHIPM)</w:t>
      </w:r>
      <w:r w:rsidR="00755645" w:rsidRPr="00EB5DCB">
        <w:t xml:space="preserve"> developed by </w:t>
      </w:r>
      <w:r w:rsidR="00E77BA6" w:rsidRPr="00EB5DCB">
        <w:t xml:space="preserve">the </w:t>
      </w:r>
      <w:r w:rsidR="00154018">
        <w:t>Center for Data Insights and Innovation (CDII</w:t>
      </w:r>
      <w:r w:rsidR="00E77BA6">
        <w:t xml:space="preserve">) </w:t>
      </w:r>
      <w:r w:rsidR="00755645">
        <w:t>provides an analysis of applicable Federal</w:t>
      </w:r>
      <w:r w:rsidR="001467D1">
        <w:t xml:space="preserve"> (including HIPAA)</w:t>
      </w:r>
      <w:r w:rsidR="00755645">
        <w:t xml:space="preserve"> </w:t>
      </w:r>
      <w:r w:rsidR="003F7D11">
        <w:t xml:space="preserve">and State </w:t>
      </w:r>
      <w:r w:rsidR="00755645">
        <w:t xml:space="preserve">laws and regulations related to </w:t>
      </w:r>
      <w:r w:rsidR="00BC1308">
        <w:t>Telehealth</w:t>
      </w:r>
      <w:r w:rsidR="00755645">
        <w:t xml:space="preserve"> </w:t>
      </w:r>
      <w:r w:rsidR="00A53BCE">
        <w:t>–</w:t>
      </w:r>
      <w:r w:rsidR="003F7D11">
        <w:t xml:space="preserve"> </w:t>
      </w:r>
      <w:r w:rsidR="00A53BCE">
        <w:t>refer to</w:t>
      </w:r>
      <w:r w:rsidR="00BC1308">
        <w:t xml:space="preserve"> SHIPM Chapter 2</w:t>
      </w:r>
      <w:r>
        <w:t xml:space="preserve"> </w:t>
      </w:r>
      <w:r w:rsidR="00BC1308">
        <w:t>–</w:t>
      </w:r>
      <w:r>
        <w:t xml:space="preserve"> </w:t>
      </w:r>
      <w:r w:rsidR="00BC1308" w:rsidRPr="00C4602E">
        <w:rPr>
          <w:i/>
        </w:rPr>
        <w:t>2.9.1</w:t>
      </w:r>
      <w:r w:rsidR="00755645" w:rsidRPr="00C4602E">
        <w:rPr>
          <w:i/>
        </w:rPr>
        <w:t xml:space="preserve"> </w:t>
      </w:r>
      <w:r w:rsidR="00BC1308" w:rsidRPr="00C4602E">
        <w:rPr>
          <w:i/>
        </w:rPr>
        <w:t>Requirements for Telehealth</w:t>
      </w:r>
      <w:r w:rsidR="00BC1308">
        <w:t xml:space="preserve"> for specific information</w:t>
      </w:r>
      <w:r w:rsidR="00755645">
        <w:t>.</w:t>
      </w:r>
    </w:p>
    <w:p w14:paraId="353F1DE4" w14:textId="6F67293B" w:rsidR="00AE44EB" w:rsidRDefault="00C4602E" w:rsidP="00AE44EB">
      <w:r w:rsidRPr="00A53BCE">
        <w:t>T</w:t>
      </w:r>
      <w:r w:rsidR="002E2743" w:rsidRPr="00A53BCE">
        <w:t xml:space="preserve">he following </w:t>
      </w:r>
      <w:r w:rsidR="009722B5" w:rsidRPr="00A53BCE">
        <w:t xml:space="preserve">table </w:t>
      </w:r>
      <w:r w:rsidRPr="00A53BCE">
        <w:t>is provided</w:t>
      </w:r>
      <w:r w:rsidR="002E2743" w:rsidRPr="00A53BCE">
        <w:t xml:space="preserve"> to </w:t>
      </w:r>
      <w:r w:rsidR="00BC1308" w:rsidRPr="00A53BCE">
        <w:t xml:space="preserve">assist your department </w:t>
      </w:r>
      <w:r w:rsidR="003E752A" w:rsidRPr="00A53BCE">
        <w:t xml:space="preserve">in ensuring </w:t>
      </w:r>
      <w:r w:rsidR="00F10FAB" w:rsidRPr="00A53BCE">
        <w:t xml:space="preserve">privacy and security considerations are </w:t>
      </w:r>
      <w:r w:rsidR="00BC1308" w:rsidRPr="00A53BCE">
        <w:t>assess</w:t>
      </w:r>
      <w:r w:rsidRPr="00A53BCE">
        <w:t>ed when implementing</w:t>
      </w:r>
      <w:r w:rsidR="00BC1308" w:rsidRPr="00A53BCE">
        <w:t xml:space="preserve"> your telehealth solution</w:t>
      </w:r>
      <w:r w:rsidR="002E2743" w:rsidRPr="00A53BCE">
        <w:t>.</w:t>
      </w:r>
      <w:r w:rsidR="003D5930" w:rsidRPr="00A53BCE">
        <w:t xml:space="preserve">  </w:t>
      </w:r>
      <w:r w:rsidR="00154018" w:rsidRPr="00A53BCE">
        <w:t>CD</w:t>
      </w:r>
      <w:r w:rsidRPr="00A53BCE">
        <w:t xml:space="preserve">II recommends </w:t>
      </w:r>
      <w:r w:rsidR="003E752A" w:rsidRPr="00A53BCE">
        <w:t xml:space="preserve">that </w:t>
      </w:r>
      <w:r w:rsidR="003D5930" w:rsidRPr="00A53BCE">
        <w:t xml:space="preserve">you print and retain the completed </w:t>
      </w:r>
      <w:r w:rsidR="00B341BD" w:rsidRPr="00A53BCE">
        <w:t>table</w:t>
      </w:r>
      <w:r w:rsidR="003D5930" w:rsidRPr="00A53BCE">
        <w:t>.</w:t>
      </w:r>
    </w:p>
    <w:tbl>
      <w:tblPr>
        <w:tblStyle w:val="TableGrid"/>
        <w:tblpPr w:leftFromText="180" w:rightFromText="180" w:vertAnchor="text" w:tblpY="1"/>
        <w:tblOverlap w:val="never"/>
        <w:tblW w:w="4681" w:type="pct"/>
        <w:tblLayout w:type="fixed"/>
        <w:tblLook w:val="04A0" w:firstRow="1" w:lastRow="0" w:firstColumn="1" w:lastColumn="0" w:noHBand="0" w:noVBand="1"/>
        <w:tblCaption w:val="Risk Assessment Checklist"/>
        <w:tblDescription w:val="Table contains an item number reference, topic (or item for compliance), covered and comment."/>
      </w:tblPr>
      <w:tblGrid>
        <w:gridCol w:w="471"/>
        <w:gridCol w:w="7697"/>
        <w:gridCol w:w="1260"/>
      </w:tblGrid>
      <w:tr w:rsidR="00783069" w:rsidRPr="008D1EED" w14:paraId="61825F47" w14:textId="77777777" w:rsidTr="00252A4D">
        <w:trPr>
          <w:tblHeader/>
        </w:trPr>
        <w:tc>
          <w:tcPr>
            <w:tcW w:w="250" w:type="pct"/>
            <w:shd w:val="clear" w:color="auto" w:fill="C6D9F1" w:themeFill="text2" w:themeFillTint="33"/>
            <w:vAlign w:val="center"/>
          </w:tcPr>
          <w:p w14:paraId="516A8486" w14:textId="77777777" w:rsidR="00783069" w:rsidRPr="008D1EED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D1EED">
              <w:rPr>
                <w:rFonts w:eastAsia="Times New Roman" w:cs="Arial"/>
                <w:b/>
                <w:sz w:val="20"/>
                <w:szCs w:val="20"/>
              </w:rPr>
              <w:t>#</w:t>
            </w:r>
          </w:p>
        </w:tc>
        <w:tc>
          <w:tcPr>
            <w:tcW w:w="4082" w:type="pct"/>
            <w:shd w:val="clear" w:color="auto" w:fill="C6D9F1" w:themeFill="text2" w:themeFillTint="33"/>
            <w:vAlign w:val="center"/>
          </w:tcPr>
          <w:p w14:paraId="7E6AFA91" w14:textId="77777777" w:rsidR="00783069" w:rsidRPr="008D1EED" w:rsidRDefault="00C4602E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Privacy/Security Item</w:t>
            </w:r>
          </w:p>
        </w:tc>
        <w:tc>
          <w:tcPr>
            <w:tcW w:w="668" w:type="pct"/>
            <w:shd w:val="clear" w:color="auto" w:fill="C6D9F1" w:themeFill="text2" w:themeFillTint="33"/>
            <w:vAlign w:val="center"/>
          </w:tcPr>
          <w:p w14:paraId="691B9079" w14:textId="64812021" w:rsidR="00783069" w:rsidRPr="008D1EED" w:rsidRDefault="0031651D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Addressed </w:t>
            </w:r>
            <w:r w:rsidR="00783069">
              <w:rPr>
                <w:rFonts w:eastAsia="Times New Roman" w:cs="Arial"/>
                <w:b/>
                <w:sz w:val="20"/>
                <w:szCs w:val="20"/>
              </w:rPr>
              <w:t xml:space="preserve">(Y or </w:t>
            </w:r>
            <w:r w:rsidR="00783069" w:rsidRPr="008D1EED">
              <w:rPr>
                <w:rFonts w:eastAsia="Times New Roman" w:cs="Arial"/>
                <w:b/>
                <w:sz w:val="20"/>
                <w:szCs w:val="20"/>
              </w:rPr>
              <w:t>N)</w:t>
            </w:r>
          </w:p>
        </w:tc>
      </w:tr>
      <w:tr w:rsidR="00783069" w:rsidRPr="00D11B7C" w14:paraId="630E002F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618E0128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1FCF379F" w14:textId="77777777" w:rsidR="00783069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Use of authorized telehealth equipment - d</w:t>
            </w:r>
            <w:r w:rsidRPr="00BC1308">
              <w:rPr>
                <w:rFonts w:cs="Arial"/>
              </w:rPr>
              <w:t xml:space="preserve">oes the equipment have sufficient security features to meet </w:t>
            </w:r>
            <w:r w:rsidR="00C4602E">
              <w:rPr>
                <w:rFonts w:cs="Arial"/>
              </w:rPr>
              <w:t>Health Insurance Portability and Accountability Act (</w:t>
            </w:r>
            <w:r w:rsidRPr="00BC1308">
              <w:rPr>
                <w:rFonts w:cs="Arial"/>
              </w:rPr>
              <w:t>HIPAA</w:t>
            </w:r>
            <w:r w:rsidR="00C4602E">
              <w:rPr>
                <w:rFonts w:cs="Arial"/>
              </w:rPr>
              <w:t>)</w:t>
            </w:r>
            <w:r w:rsidRPr="00BC1308">
              <w:rPr>
                <w:rFonts w:cs="Arial"/>
              </w:rPr>
              <w:t xml:space="preserve"> a</w:t>
            </w:r>
            <w:r>
              <w:rPr>
                <w:rFonts w:cs="Arial"/>
              </w:rPr>
              <w:t>nd state security requirements?</w:t>
            </w:r>
          </w:p>
        </w:tc>
        <w:tc>
          <w:tcPr>
            <w:tcW w:w="668" w:type="pct"/>
            <w:vAlign w:val="center"/>
          </w:tcPr>
          <w:p w14:paraId="6B958B4D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0082435D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2B29E49D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01343733" w14:textId="77777777" w:rsidR="00783069" w:rsidRPr="00B8471E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Are you using a vendor for all or part of the solution?</w:t>
            </w:r>
          </w:p>
        </w:tc>
        <w:tc>
          <w:tcPr>
            <w:tcW w:w="668" w:type="pct"/>
            <w:vAlign w:val="center"/>
          </w:tcPr>
          <w:p w14:paraId="4B36630A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B8471E" w:rsidRPr="00D11B7C" w14:paraId="0BCA3A02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205F05BA" w14:textId="77777777" w:rsidR="00B8471E" w:rsidRPr="00D11B7C" w:rsidRDefault="00B8471E" w:rsidP="00252A4D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786B7A39" w14:textId="77777777" w:rsidR="00B8471E" w:rsidRDefault="00B8471E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If yes:</w:t>
            </w:r>
          </w:p>
          <w:p w14:paraId="4E3CD740" w14:textId="77777777" w:rsidR="00B8471E" w:rsidRPr="00B8471E" w:rsidRDefault="00B8471E" w:rsidP="00252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8471E">
              <w:rPr>
                <w:rFonts w:cs="Arial"/>
              </w:rPr>
              <w:t xml:space="preserve">What is the vendor providing – equipment, software, connectivity, or a third-party software license with limited support and maintenance? </w:t>
            </w:r>
          </w:p>
        </w:tc>
        <w:tc>
          <w:tcPr>
            <w:tcW w:w="668" w:type="pct"/>
            <w:vAlign w:val="center"/>
          </w:tcPr>
          <w:p w14:paraId="0F1AA21F" w14:textId="77777777" w:rsidR="00B8471E" w:rsidRPr="00D11B7C" w:rsidRDefault="00B8471E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B8471E" w:rsidRPr="00D11B7C" w14:paraId="0BE360CB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682021C9" w14:textId="77777777" w:rsidR="00B8471E" w:rsidRPr="00D11B7C" w:rsidRDefault="00B8471E" w:rsidP="00252A4D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33BD0BAA" w14:textId="77777777" w:rsidR="00B8471E" w:rsidRPr="00B8471E" w:rsidRDefault="00B8471E" w:rsidP="00252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 xml:space="preserve">Does the vendor agreement contain representations and warranties that the equipment will function as warranted, and are there guaranteed uptimes and limited downtimes? </w:t>
            </w:r>
          </w:p>
        </w:tc>
        <w:tc>
          <w:tcPr>
            <w:tcW w:w="668" w:type="pct"/>
            <w:vAlign w:val="center"/>
          </w:tcPr>
          <w:p w14:paraId="767544F5" w14:textId="77777777" w:rsidR="00B8471E" w:rsidRPr="00D11B7C" w:rsidRDefault="00B8471E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B8471E" w:rsidRPr="00D11B7C" w14:paraId="57AA6F71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2D0513E7" w14:textId="77777777" w:rsidR="00B8471E" w:rsidRPr="00D11B7C" w:rsidRDefault="00B8471E" w:rsidP="00252A4D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36D95BB0" w14:textId="77777777" w:rsidR="00B8471E" w:rsidRDefault="00B8471E" w:rsidP="00252A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Is the vendor a business associate?</w:t>
            </w:r>
          </w:p>
          <w:p w14:paraId="4B9F2F73" w14:textId="63A5B9B6" w:rsidR="00B8471E" w:rsidRPr="00BC1308" w:rsidRDefault="00B8471E" w:rsidP="00252A4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11"/>
              <w:rPr>
                <w:rFonts w:cs="Arial"/>
              </w:rPr>
            </w:pPr>
            <w:r>
              <w:rPr>
                <w:rFonts w:cs="Arial"/>
              </w:rPr>
              <w:t xml:space="preserve">Does the agreement outline the vendor’s </w:t>
            </w:r>
            <w:r w:rsidRPr="00BC1308">
              <w:rPr>
                <w:rFonts w:cs="Arial"/>
              </w:rPr>
              <w:t xml:space="preserve">responsibilities in the event of a breach of </w:t>
            </w:r>
            <w:r>
              <w:rPr>
                <w:rFonts w:cs="Arial"/>
              </w:rPr>
              <w:t>protected health information (</w:t>
            </w:r>
            <w:r w:rsidRPr="00BC1308">
              <w:rPr>
                <w:rFonts w:cs="Arial"/>
              </w:rPr>
              <w:t>PHI</w:t>
            </w:r>
            <w:r>
              <w:rPr>
                <w:rFonts w:cs="Arial"/>
              </w:rPr>
              <w:t>)</w:t>
            </w:r>
            <w:r w:rsidRPr="00BC1308">
              <w:rPr>
                <w:rFonts w:cs="Arial"/>
              </w:rPr>
              <w:t>?</w:t>
            </w:r>
          </w:p>
          <w:p w14:paraId="34EC37AE" w14:textId="77777777" w:rsidR="00B8471E" w:rsidRPr="00BC1308" w:rsidRDefault="00B8471E" w:rsidP="00252A4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11"/>
              <w:rPr>
                <w:rFonts w:cs="Arial"/>
              </w:rPr>
            </w:pPr>
            <w:r w:rsidRPr="00BC1308">
              <w:rPr>
                <w:rFonts w:cs="Arial"/>
              </w:rPr>
              <w:t xml:space="preserve">Does the agreement contain indemnification or limitation of liability provisions in the event of a breach? </w:t>
            </w:r>
          </w:p>
          <w:p w14:paraId="6520CD13" w14:textId="77777777" w:rsidR="00B8471E" w:rsidRDefault="00B8471E" w:rsidP="00252A4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11"/>
              <w:rPr>
                <w:rFonts w:cs="Arial"/>
              </w:rPr>
            </w:pPr>
            <w:r w:rsidRPr="00BC1308">
              <w:rPr>
                <w:rFonts w:cs="Arial"/>
              </w:rPr>
              <w:t>Does the vendor have cyber liability insurance and other insurance coverage, and are the amounts adequate?</w:t>
            </w:r>
          </w:p>
        </w:tc>
        <w:tc>
          <w:tcPr>
            <w:tcW w:w="668" w:type="pct"/>
            <w:vAlign w:val="center"/>
          </w:tcPr>
          <w:p w14:paraId="36683AF4" w14:textId="77777777" w:rsidR="00B8471E" w:rsidRPr="00D11B7C" w:rsidRDefault="00B8471E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1E2709EA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408222DC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5B801F79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Conduct</w:t>
            </w:r>
            <w:r w:rsidRPr="00BC1308">
              <w:rPr>
                <w:rFonts w:cs="Arial"/>
              </w:rPr>
              <w:t xml:space="preserve"> a security risk analysis of the telehealth equipment to identify any security vulnerabilities and implementing a risk management plan to mitigate vulnerabilities. </w:t>
            </w:r>
            <w:r>
              <w:rPr>
                <w:rFonts w:cs="Arial"/>
              </w:rPr>
              <w:t>E</w:t>
            </w:r>
            <w:r w:rsidRPr="00BC1308">
              <w:rPr>
                <w:rFonts w:cs="Arial"/>
              </w:rPr>
              <w:t>ach of the originating-site and distant-site parties should conduct its own security risk analysis.</w:t>
            </w:r>
          </w:p>
        </w:tc>
        <w:tc>
          <w:tcPr>
            <w:tcW w:w="668" w:type="pct"/>
            <w:vAlign w:val="center"/>
          </w:tcPr>
          <w:p w14:paraId="5D443EB8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05E9A4F6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5AB40D27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48698562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 xml:space="preserve">Integration and interoperability of electronic data generated from telehealth services into the electronic health record and health information exchanges. How will the originating site and distant site use and disclose </w:t>
            </w:r>
            <w:r w:rsidR="00C4602E">
              <w:rPr>
                <w:rFonts w:cs="Arial"/>
              </w:rPr>
              <w:t>electronic PHI (</w:t>
            </w:r>
            <w:r w:rsidRPr="00BC1308">
              <w:rPr>
                <w:rFonts w:cs="Arial"/>
              </w:rPr>
              <w:t>ePHI</w:t>
            </w:r>
            <w:r w:rsidR="00C4602E">
              <w:rPr>
                <w:rFonts w:cs="Arial"/>
              </w:rPr>
              <w:t>)</w:t>
            </w:r>
            <w:r w:rsidRPr="00BC1308">
              <w:rPr>
                <w:rFonts w:cs="Arial"/>
              </w:rPr>
              <w:t>?</w:t>
            </w:r>
          </w:p>
        </w:tc>
        <w:tc>
          <w:tcPr>
            <w:tcW w:w="668" w:type="pct"/>
            <w:vAlign w:val="center"/>
          </w:tcPr>
          <w:p w14:paraId="132ECFE1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51A531AE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6F6A2A03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56DA9B37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Identify</w:t>
            </w:r>
            <w:r w:rsidRPr="00BC1308">
              <w:rPr>
                <w:rFonts w:cs="Arial"/>
              </w:rPr>
              <w:t xml:space="preserve"> authorized users of the telehealth system and electronic health record</w:t>
            </w:r>
            <w:r>
              <w:rPr>
                <w:rFonts w:cs="Arial"/>
              </w:rPr>
              <w:t xml:space="preserve"> and e</w:t>
            </w:r>
            <w:r w:rsidRPr="00BC1308">
              <w:rPr>
                <w:rFonts w:cs="Arial"/>
              </w:rPr>
              <w:t>nsur</w:t>
            </w:r>
            <w:r>
              <w:rPr>
                <w:rFonts w:cs="Arial"/>
              </w:rPr>
              <w:t>e</w:t>
            </w:r>
            <w:r w:rsidRPr="00BC1308">
              <w:rPr>
                <w:rFonts w:cs="Arial"/>
              </w:rPr>
              <w:t xml:space="preserve"> access controls are in place to restrict access to only authorized users.</w:t>
            </w:r>
          </w:p>
        </w:tc>
        <w:tc>
          <w:tcPr>
            <w:tcW w:w="668" w:type="pct"/>
            <w:vAlign w:val="center"/>
          </w:tcPr>
          <w:p w14:paraId="1B817D00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46A3B9BA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496FC165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5F5B09B8" w14:textId="2D91F496" w:rsidR="003A3479" w:rsidRPr="003A3479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Patient privacy and security during live videoconference between the patient and the distant provider.</w:t>
            </w:r>
          </w:p>
        </w:tc>
        <w:tc>
          <w:tcPr>
            <w:tcW w:w="668" w:type="pct"/>
            <w:vAlign w:val="center"/>
          </w:tcPr>
          <w:p w14:paraId="4290C35E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3204A5F0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1218E07A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5F685BDF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Secure transmission of the videoconference between the patient and the distant provider.</w:t>
            </w:r>
          </w:p>
        </w:tc>
        <w:tc>
          <w:tcPr>
            <w:tcW w:w="668" w:type="pct"/>
            <w:vAlign w:val="center"/>
          </w:tcPr>
          <w:p w14:paraId="419952A7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03AA7F53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775EB6C9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07972B9E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Mon</w:t>
            </w:r>
            <w:r>
              <w:rPr>
                <w:rFonts w:cs="Arial"/>
              </w:rPr>
              <w:t>itor/audit</w:t>
            </w:r>
            <w:r w:rsidRPr="00BC1308">
              <w:rPr>
                <w:rFonts w:cs="Arial"/>
              </w:rPr>
              <w:t xml:space="preserve"> access, use and disclosure of PHI with telehealth services, and responsibilities between the parties.</w:t>
            </w:r>
          </w:p>
        </w:tc>
        <w:tc>
          <w:tcPr>
            <w:tcW w:w="668" w:type="pct"/>
            <w:vAlign w:val="center"/>
          </w:tcPr>
          <w:p w14:paraId="4D7103C5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09E6EE85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3EE35610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32698585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Revise</w:t>
            </w:r>
            <w:r w:rsidRPr="00BC1308">
              <w:rPr>
                <w:rFonts w:cs="Arial"/>
              </w:rPr>
              <w:t xml:space="preserve"> privacy and security policies and procedures to include the use of telehealth.</w:t>
            </w:r>
          </w:p>
        </w:tc>
        <w:tc>
          <w:tcPr>
            <w:tcW w:w="668" w:type="pct"/>
            <w:vAlign w:val="center"/>
          </w:tcPr>
          <w:p w14:paraId="153413C3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257DCDC6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7B590D26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225A6AC9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Revise</w:t>
            </w:r>
            <w:r w:rsidRPr="00BC1308">
              <w:rPr>
                <w:rFonts w:cs="Arial"/>
              </w:rPr>
              <w:t xml:space="preserve"> the Notice of Privacy Practices to include the use of telehealth for treatment, p</w:t>
            </w:r>
            <w:r>
              <w:rPr>
                <w:rFonts w:cs="Arial"/>
              </w:rPr>
              <w:t>ayment and operations purposes.</w:t>
            </w:r>
          </w:p>
        </w:tc>
        <w:tc>
          <w:tcPr>
            <w:tcW w:w="668" w:type="pct"/>
            <w:vAlign w:val="center"/>
          </w:tcPr>
          <w:p w14:paraId="01BF5DCA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7AD5D768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664BF208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0A910A3B" w14:textId="77777777" w:rsidR="00783069" w:rsidRPr="00BC1308" w:rsidRDefault="00C4602E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Document responsibilities</w:t>
            </w:r>
            <w:r w:rsidR="00783069" w:rsidRPr="00BC1308">
              <w:rPr>
                <w:rFonts w:cs="Arial"/>
              </w:rPr>
              <w:t xml:space="preserve"> between the parties in the event of a breach of unsecure PHI and notification requirements.</w:t>
            </w:r>
          </w:p>
        </w:tc>
        <w:tc>
          <w:tcPr>
            <w:tcW w:w="668" w:type="pct"/>
            <w:vAlign w:val="center"/>
          </w:tcPr>
          <w:p w14:paraId="79422D6E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545A1318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78B5BA1F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6EB23583" w14:textId="3BF64519" w:rsidR="00783069" w:rsidRPr="00BC1308" w:rsidRDefault="00C4602E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Assess</w:t>
            </w:r>
            <w:r w:rsidR="00783069" w:rsidRPr="00BC1308">
              <w:rPr>
                <w:rFonts w:cs="Arial"/>
              </w:rPr>
              <w:t xml:space="preserve"> additional</w:t>
            </w:r>
            <w:r>
              <w:rPr>
                <w:rFonts w:cs="Arial"/>
              </w:rPr>
              <w:t xml:space="preserve"> federal and state privacy laws applicable to your organization.  In addition, consider the </w:t>
            </w:r>
            <w:r w:rsidR="00783069" w:rsidRPr="00BC1308">
              <w:rPr>
                <w:rFonts w:cs="Arial"/>
              </w:rPr>
              <w:t>protection of sensitive information such as substance abuse, mental health, HIV</w:t>
            </w:r>
            <w:r>
              <w:rPr>
                <w:rFonts w:cs="Arial"/>
              </w:rPr>
              <w:t>/</w:t>
            </w:r>
            <w:r w:rsidR="00783069" w:rsidRPr="00BC1308">
              <w:rPr>
                <w:rFonts w:cs="Arial"/>
              </w:rPr>
              <w:t>AIDS status</w:t>
            </w:r>
            <w:r>
              <w:rPr>
                <w:rFonts w:cs="Arial"/>
              </w:rPr>
              <w:t xml:space="preserve"> and other (</w:t>
            </w:r>
            <w:r w:rsidR="00A53BCE">
              <w:rPr>
                <w:rFonts w:cs="Arial"/>
              </w:rPr>
              <w:t>refer to</w:t>
            </w:r>
            <w:r>
              <w:rPr>
                <w:rFonts w:cs="Arial"/>
              </w:rPr>
              <w:t xml:space="preserve"> SHIPM Chapter 2 – </w:t>
            </w:r>
            <w:r w:rsidRPr="00C4602E">
              <w:rPr>
                <w:rFonts w:cs="Arial"/>
                <w:i/>
              </w:rPr>
              <w:t>2.3.0 Specially Protected Information</w:t>
            </w:r>
            <w:r>
              <w:rPr>
                <w:rFonts w:cs="Arial"/>
              </w:rPr>
              <w:t>)</w:t>
            </w:r>
            <w:r w:rsidR="00783069" w:rsidRPr="00BC1308">
              <w:rPr>
                <w:rFonts w:cs="Arial"/>
              </w:rPr>
              <w:t>.</w:t>
            </w:r>
          </w:p>
        </w:tc>
        <w:tc>
          <w:tcPr>
            <w:tcW w:w="668" w:type="pct"/>
            <w:vAlign w:val="center"/>
          </w:tcPr>
          <w:p w14:paraId="45BBE557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3C09B920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1E9B6D6B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4BC15259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Assess the Federal Trade Commission’s and the Food and Drug Administration’s regulations governing the use of mobile medical apps if mobile apps are being used to communicate with the patient.</w:t>
            </w:r>
          </w:p>
        </w:tc>
        <w:tc>
          <w:tcPr>
            <w:tcW w:w="668" w:type="pct"/>
            <w:vAlign w:val="center"/>
          </w:tcPr>
          <w:p w14:paraId="52810E2D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14:paraId="2F0BA7C3" w14:textId="77777777" w:rsidTr="00252A4D">
        <w:trPr>
          <w:trHeight w:val="629"/>
        </w:trPr>
        <w:tc>
          <w:tcPr>
            <w:tcW w:w="250" w:type="pct"/>
            <w:vAlign w:val="center"/>
          </w:tcPr>
          <w:p w14:paraId="5C0FE63A" w14:textId="77777777" w:rsidR="00783069" w:rsidRPr="00D11B7C" w:rsidRDefault="00783069" w:rsidP="00252A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2" w:type="pct"/>
            <w:vAlign w:val="center"/>
          </w:tcPr>
          <w:p w14:paraId="69002499" w14:textId="77777777" w:rsidR="00783069" w:rsidRPr="00BC1308" w:rsidRDefault="00783069" w:rsidP="00252A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Record retention laws for electronic recordings, secure storage, maintenance and transmission of ePHI, and responsibilities of the parties.</w:t>
            </w:r>
          </w:p>
        </w:tc>
        <w:tc>
          <w:tcPr>
            <w:tcW w:w="668" w:type="pct"/>
            <w:vAlign w:val="center"/>
          </w:tcPr>
          <w:p w14:paraId="4588E024" w14:textId="77777777" w:rsidR="00783069" w:rsidRPr="00D11B7C" w:rsidRDefault="00783069" w:rsidP="00252A4D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</w:tbl>
    <w:p w14:paraId="6D2F9FC8" w14:textId="2BC4803D" w:rsidR="00845BC3" w:rsidRPr="0005149B" w:rsidRDefault="0005149B" w:rsidP="00AE44EB">
      <w:pPr>
        <w:rPr>
          <w:sz w:val="2"/>
          <w:szCs w:val="2"/>
        </w:rPr>
      </w:pPr>
      <w:r>
        <w:rPr>
          <w:sz w:val="2"/>
          <w:szCs w:val="2"/>
        </w:rPr>
        <w:t xml:space="preserve">    </w:t>
      </w:r>
    </w:p>
    <w:p w14:paraId="3B8917EB" w14:textId="25166CFD" w:rsidR="00F01E9D" w:rsidRDefault="00F01E9D" w:rsidP="0005149B">
      <w:pPr>
        <w:pStyle w:val="Heading2"/>
        <w:spacing w:before="480"/>
        <w:ind w:firstLine="90"/>
      </w:pPr>
      <w:r>
        <w:t xml:space="preserve">The links </w:t>
      </w:r>
      <w:r w:rsidRPr="001701A1">
        <w:t>below</w:t>
      </w:r>
      <w:r>
        <w:t xml:space="preserve"> provide additional resources:</w:t>
      </w:r>
    </w:p>
    <w:p w14:paraId="04C75B4D" w14:textId="5BDF29B9" w:rsidR="0005149B" w:rsidRPr="0005149B" w:rsidRDefault="0005149B" w:rsidP="0005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90" w:right="630"/>
        <w:rPr>
          <w:szCs w:val="24"/>
        </w:rPr>
      </w:pPr>
      <w:r w:rsidRPr="0005149B">
        <w:rPr>
          <w:szCs w:val="24"/>
        </w:rPr>
        <w:t>Federal Health and Human Services (HHS):</w:t>
      </w:r>
      <w:r>
        <w:rPr>
          <w:szCs w:val="24"/>
        </w:rPr>
        <w:br/>
      </w:r>
      <w:hyperlink r:id="rId13" w:tooltip="Federal Health and Human Services (HHS)" w:history="1">
        <w:r w:rsidRPr="002D68C9">
          <w:rPr>
            <w:rStyle w:val="Hyperlink"/>
            <w:rFonts w:cs="Arial"/>
          </w:rPr>
          <w:t>https://www.hhs.gov/hipaa/for-professionals/privacy/guidance/hipaa-audio-telehealth/index.html</w:t>
        </w:r>
      </w:hyperlink>
    </w:p>
    <w:p w14:paraId="04C75B4D" w14:textId="5BDF29B9" w:rsidR="0005149B" w:rsidRPr="0005149B" w:rsidRDefault="0005149B" w:rsidP="0005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90" w:right="630"/>
        <w:rPr>
          <w:szCs w:val="24"/>
        </w:rPr>
      </w:pPr>
      <w:r w:rsidRPr="0005149B">
        <w:rPr>
          <w:szCs w:val="24"/>
        </w:rPr>
        <w:t>American Health Information Management Association (AHIMA):</w:t>
      </w:r>
      <w:r>
        <w:rPr>
          <w:szCs w:val="24"/>
        </w:rPr>
        <w:br/>
      </w:r>
      <w:hyperlink r:id="rId14" w:tooltip="American Health Information Management Association (AHIMA)" w:history="1">
        <w:r w:rsidRPr="002D68C9">
          <w:rPr>
            <w:rStyle w:val="Hyperlink"/>
            <w:rFonts w:cs="Arial"/>
          </w:rPr>
          <w:t>https://journal.ahima.org/page/solutions-for-challenges-in-telehealth-privacy-and-security</w:t>
        </w:r>
      </w:hyperlink>
    </w:p>
    <w:p w14:paraId="04C75B4D" w14:textId="5BDF29B9" w:rsidR="0005149B" w:rsidRPr="0005149B" w:rsidRDefault="0005149B" w:rsidP="0005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90" w:right="630"/>
        <w:rPr>
          <w:szCs w:val="24"/>
        </w:rPr>
      </w:pPr>
      <w:r w:rsidRPr="0005149B">
        <w:rPr>
          <w:szCs w:val="24"/>
        </w:rPr>
        <w:t>Substance Abuse and Mental Health Services Administration (SAMHSA):</w:t>
      </w:r>
      <w:r>
        <w:rPr>
          <w:szCs w:val="24"/>
        </w:rPr>
        <w:br/>
      </w:r>
      <w:hyperlink r:id="rId15" w:tooltip="Substance Abuse and Mental Health Services Administration (SAMHSA)" w:history="1">
        <w:r w:rsidRPr="002D68C9">
          <w:rPr>
            <w:rStyle w:val="Hyperlink"/>
            <w:rFonts w:cs="Arial"/>
          </w:rPr>
          <w:t>https://www.samhsa.gov/section-223/care-coordination/telehealth-telemedicine</w:t>
        </w:r>
      </w:hyperlink>
    </w:p>
    <w:p w14:paraId="04C75B4D" w14:textId="5BDF29B9" w:rsidR="00F01E9D" w:rsidRPr="0005149B" w:rsidRDefault="0005149B" w:rsidP="0005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90" w:right="630"/>
        <w:rPr>
          <w:szCs w:val="24"/>
          <w:lang w:val="es-MX"/>
        </w:rPr>
      </w:pPr>
      <w:r w:rsidRPr="0005149B">
        <w:rPr>
          <w:szCs w:val="24"/>
          <w:lang w:val="es-MX"/>
        </w:rPr>
        <w:t xml:space="preserve">HIPAA </w:t>
      </w:r>
      <w:proofErr w:type="spellStart"/>
      <w:r w:rsidRPr="0005149B">
        <w:rPr>
          <w:szCs w:val="24"/>
          <w:lang w:val="es-MX"/>
        </w:rPr>
        <w:t>Journal</w:t>
      </w:r>
      <w:proofErr w:type="spellEnd"/>
      <w:r w:rsidRPr="0005149B">
        <w:rPr>
          <w:szCs w:val="24"/>
          <w:lang w:val="es-MX"/>
        </w:rPr>
        <w:t>:</w:t>
      </w:r>
      <w:r>
        <w:rPr>
          <w:szCs w:val="24"/>
          <w:lang w:val="es-MX"/>
        </w:rPr>
        <w:br/>
      </w:r>
      <w:hyperlink r:id="rId16" w:tooltip="HIPAA Journal" w:history="1">
        <w:r w:rsidRPr="001701A1">
          <w:rPr>
            <w:rStyle w:val="Hyperlink"/>
            <w:rFonts w:cs="Arial"/>
            <w:lang w:val="es-MX"/>
          </w:rPr>
          <w:t>https://www.hipaajournal.com/hipaa-guidelines-on-telemedicine/</w:t>
        </w:r>
      </w:hyperlink>
    </w:p>
    <w:sectPr w:rsidR="00F01E9D" w:rsidRPr="0005149B" w:rsidSect="001701A1">
      <w:headerReference w:type="default" r:id="rId17"/>
      <w:footerReference w:type="default" r:id="rId18"/>
      <w:footerReference w:type="first" r:id="rId19"/>
      <w:pgSz w:w="12240" w:h="15840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17E2" w14:textId="77777777" w:rsidR="00CB0FD0" w:rsidRDefault="00CB0FD0" w:rsidP="00913F46">
      <w:pPr>
        <w:spacing w:after="0" w:line="240" w:lineRule="auto"/>
      </w:pPr>
      <w:r>
        <w:separator/>
      </w:r>
    </w:p>
  </w:endnote>
  <w:endnote w:type="continuationSeparator" w:id="0">
    <w:p w14:paraId="2A7DC3E3" w14:textId="77777777" w:rsidR="00CB0FD0" w:rsidRDefault="00CB0FD0" w:rsidP="0091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2FDD" w14:textId="1F41B9E6" w:rsidR="0029432C" w:rsidRPr="00252A4D" w:rsidRDefault="003A3479" w:rsidP="00252A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0</w:t>
    </w:r>
    <w:r w:rsidR="00A53BCE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>/2023</w:t>
    </w:r>
    <w:r w:rsidR="0029432C">
      <w:rPr>
        <w:rFonts w:asciiTheme="majorHAnsi" w:eastAsiaTheme="majorEastAsia" w:hAnsiTheme="majorHAnsi" w:cstheme="majorBidi"/>
      </w:rPr>
      <w:ptab w:relativeTo="margin" w:alignment="right" w:leader="none"/>
    </w:r>
    <w:r w:rsidR="0029432C">
      <w:rPr>
        <w:rFonts w:asciiTheme="majorHAnsi" w:eastAsiaTheme="majorEastAsia" w:hAnsiTheme="majorHAnsi" w:cstheme="majorBidi"/>
      </w:rPr>
      <w:t xml:space="preserve">Page </w:t>
    </w:r>
    <w:r w:rsidR="0029432C">
      <w:rPr>
        <w:rFonts w:asciiTheme="minorHAnsi" w:eastAsiaTheme="minorEastAsia" w:hAnsiTheme="minorHAnsi"/>
      </w:rPr>
      <w:fldChar w:fldCharType="begin"/>
    </w:r>
    <w:r w:rsidR="0029432C">
      <w:instrText xml:space="preserve"> PAGE   \* MERGEFORMAT </w:instrText>
    </w:r>
    <w:r w:rsidR="0029432C">
      <w:rPr>
        <w:rFonts w:asciiTheme="minorHAnsi" w:eastAsiaTheme="minorEastAsia" w:hAnsiTheme="minorHAnsi"/>
      </w:rPr>
      <w:fldChar w:fldCharType="separate"/>
    </w:r>
    <w:r w:rsidR="00154018" w:rsidRPr="00154018">
      <w:rPr>
        <w:rFonts w:asciiTheme="majorHAnsi" w:eastAsiaTheme="majorEastAsia" w:hAnsiTheme="majorHAnsi" w:cstheme="majorBidi"/>
        <w:noProof/>
      </w:rPr>
      <w:t>2</w:t>
    </w:r>
    <w:r w:rsidR="0029432C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7208" w14:textId="697E1467" w:rsidR="001701A1" w:rsidRPr="00252A4D" w:rsidRDefault="001701A1" w:rsidP="00252A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06/2023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>
      <w:rPr>
        <w:rFonts w:asciiTheme="minorHAnsi" w:eastAsiaTheme="minorEastAsia" w:hAnsiTheme="minorHAnsi"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A57F" w14:textId="77777777" w:rsidR="00CB0FD0" w:rsidRDefault="00CB0FD0" w:rsidP="00913F46">
      <w:pPr>
        <w:spacing w:after="0" w:line="240" w:lineRule="auto"/>
      </w:pPr>
      <w:r>
        <w:separator/>
      </w:r>
    </w:p>
  </w:footnote>
  <w:footnote w:type="continuationSeparator" w:id="0">
    <w:p w14:paraId="3F325FBE" w14:textId="77777777" w:rsidR="00CB0FD0" w:rsidRDefault="00CB0FD0" w:rsidP="0091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6D8C" w14:textId="0351DFD5" w:rsidR="0029432C" w:rsidRPr="00252A4D" w:rsidRDefault="008B6999" w:rsidP="00252A4D">
    <w:pPr>
      <w:pStyle w:val="Header"/>
      <w:pBdr>
        <w:bottom w:val="thickThinSmallGap" w:sz="24" w:space="1" w:color="622423" w:themeColor="accent2" w:themeShade="7F"/>
      </w:pBdr>
      <w:tabs>
        <w:tab w:val="clear" w:pos="4680"/>
        <w:tab w:val="clear" w:pos="9360"/>
        <w:tab w:val="right" w:pos="9990"/>
      </w:tabs>
      <w:spacing w:after="480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Telehealth </w:t>
    </w:r>
    <w:r w:rsidR="006227B2">
      <w:rPr>
        <w:rFonts w:asciiTheme="majorHAnsi" w:eastAsiaTheme="majorEastAsia" w:hAnsiTheme="majorHAnsi" w:cstheme="majorBidi"/>
        <w:sz w:val="32"/>
        <w:szCs w:val="32"/>
      </w:rPr>
      <w:t>Readiness Tool</w:t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</w:t>
    </w:r>
    <w:r w:rsidR="00154018">
      <w:rPr>
        <w:rFonts w:ascii="Calibri" w:eastAsia="Times New Roman" w:hAnsi="Calibri" w:cs="Calibri"/>
        <w:noProof/>
        <w:color w:val="000000"/>
        <w:shd w:val="clear" w:color="auto" w:fill="FFFFFF"/>
      </w:rPr>
      <w:drawing>
        <wp:inline distT="0" distB="0" distL="0" distR="0" wp14:anchorId="605CE0EE" wp14:editId="7C0B777A">
          <wp:extent cx="1250950" cy="508861"/>
          <wp:effectExtent l="0" t="0" r="0" b="5715"/>
          <wp:docPr id="432837469" name="Picture 432837469" descr="Center for Data Insights and Innovation (California Health &amp; Human Services Agency)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7736e9-9df8-49a6-b09e-9141c6f3db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473" cy="52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1F4"/>
    <w:multiLevelType w:val="hybridMultilevel"/>
    <w:tmpl w:val="504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0514D"/>
    <w:multiLevelType w:val="hybridMultilevel"/>
    <w:tmpl w:val="7700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0FCA"/>
    <w:multiLevelType w:val="hybridMultilevel"/>
    <w:tmpl w:val="C958C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3648"/>
    <w:multiLevelType w:val="hybridMultilevel"/>
    <w:tmpl w:val="651E8850"/>
    <w:lvl w:ilvl="0" w:tplc="1F38FF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C18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E07F5"/>
    <w:multiLevelType w:val="hybridMultilevel"/>
    <w:tmpl w:val="DE3A1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8533B"/>
    <w:multiLevelType w:val="hybridMultilevel"/>
    <w:tmpl w:val="873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762D9"/>
    <w:multiLevelType w:val="hybridMultilevel"/>
    <w:tmpl w:val="BC8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656E3"/>
    <w:multiLevelType w:val="hybridMultilevel"/>
    <w:tmpl w:val="231E8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61EC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D4B91"/>
    <w:multiLevelType w:val="hybridMultilevel"/>
    <w:tmpl w:val="702A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5A5"/>
    <w:multiLevelType w:val="hybridMultilevel"/>
    <w:tmpl w:val="3EA6C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372EB5"/>
    <w:multiLevelType w:val="hybridMultilevel"/>
    <w:tmpl w:val="0EB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36540"/>
    <w:multiLevelType w:val="hybridMultilevel"/>
    <w:tmpl w:val="1478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7B34"/>
    <w:multiLevelType w:val="hybridMultilevel"/>
    <w:tmpl w:val="8138C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7732"/>
    <w:multiLevelType w:val="hybridMultilevel"/>
    <w:tmpl w:val="4DBA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9070">
    <w:abstractNumId w:val="17"/>
  </w:num>
  <w:num w:numId="2" w16cid:durableId="1773208259">
    <w:abstractNumId w:val="13"/>
  </w:num>
  <w:num w:numId="3" w16cid:durableId="1584411050">
    <w:abstractNumId w:val="11"/>
  </w:num>
  <w:num w:numId="4" w16cid:durableId="236021175">
    <w:abstractNumId w:val="8"/>
  </w:num>
  <w:num w:numId="5" w16cid:durableId="352731238">
    <w:abstractNumId w:val="7"/>
  </w:num>
  <w:num w:numId="6" w16cid:durableId="1060443519">
    <w:abstractNumId w:val="1"/>
  </w:num>
  <w:num w:numId="7" w16cid:durableId="1750956849">
    <w:abstractNumId w:val="14"/>
  </w:num>
  <w:num w:numId="8" w16cid:durableId="1619795831">
    <w:abstractNumId w:val="2"/>
  </w:num>
  <w:num w:numId="9" w16cid:durableId="882526448">
    <w:abstractNumId w:val="0"/>
  </w:num>
  <w:num w:numId="10" w16cid:durableId="194345423">
    <w:abstractNumId w:val="4"/>
  </w:num>
  <w:num w:numId="11" w16cid:durableId="1034622245">
    <w:abstractNumId w:val="9"/>
  </w:num>
  <w:num w:numId="12" w16cid:durableId="1037435586">
    <w:abstractNumId w:val="5"/>
  </w:num>
  <w:num w:numId="13" w16cid:durableId="892083355">
    <w:abstractNumId w:val="12"/>
  </w:num>
  <w:num w:numId="14" w16cid:durableId="1780904190">
    <w:abstractNumId w:val="3"/>
  </w:num>
  <w:num w:numId="15" w16cid:durableId="890311662">
    <w:abstractNumId w:val="6"/>
  </w:num>
  <w:num w:numId="16" w16cid:durableId="975989546">
    <w:abstractNumId w:val="15"/>
  </w:num>
  <w:num w:numId="17" w16cid:durableId="897593678">
    <w:abstractNumId w:val="10"/>
  </w:num>
  <w:num w:numId="18" w16cid:durableId="588004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C"/>
    <w:rsid w:val="00044940"/>
    <w:rsid w:val="0005149B"/>
    <w:rsid w:val="00071F2F"/>
    <w:rsid w:val="000A0452"/>
    <w:rsid w:val="000C4F27"/>
    <w:rsid w:val="001467D1"/>
    <w:rsid w:val="00154018"/>
    <w:rsid w:val="001701A1"/>
    <w:rsid w:val="001E0652"/>
    <w:rsid w:val="001F5389"/>
    <w:rsid w:val="00213681"/>
    <w:rsid w:val="002472EF"/>
    <w:rsid w:val="00252A4D"/>
    <w:rsid w:val="00256B5D"/>
    <w:rsid w:val="00276A17"/>
    <w:rsid w:val="0029432C"/>
    <w:rsid w:val="002A2D2E"/>
    <w:rsid w:val="002E2743"/>
    <w:rsid w:val="00302C51"/>
    <w:rsid w:val="0031651D"/>
    <w:rsid w:val="00354316"/>
    <w:rsid w:val="00361091"/>
    <w:rsid w:val="00371778"/>
    <w:rsid w:val="003A3479"/>
    <w:rsid w:val="003A64DF"/>
    <w:rsid w:val="003D3860"/>
    <w:rsid w:val="003D5930"/>
    <w:rsid w:val="003E752A"/>
    <w:rsid w:val="003F7D11"/>
    <w:rsid w:val="00400778"/>
    <w:rsid w:val="00491E5E"/>
    <w:rsid w:val="00492393"/>
    <w:rsid w:val="00495994"/>
    <w:rsid w:val="004B3AA9"/>
    <w:rsid w:val="004D110F"/>
    <w:rsid w:val="004D3C18"/>
    <w:rsid w:val="004E6238"/>
    <w:rsid w:val="004F2905"/>
    <w:rsid w:val="005574E3"/>
    <w:rsid w:val="00577227"/>
    <w:rsid w:val="00585E77"/>
    <w:rsid w:val="0059302C"/>
    <w:rsid w:val="005B6D97"/>
    <w:rsid w:val="0060490B"/>
    <w:rsid w:val="006227B2"/>
    <w:rsid w:val="00636AC3"/>
    <w:rsid w:val="0066702E"/>
    <w:rsid w:val="006705D1"/>
    <w:rsid w:val="006B650E"/>
    <w:rsid w:val="006B745A"/>
    <w:rsid w:val="006C3B68"/>
    <w:rsid w:val="00701DF2"/>
    <w:rsid w:val="00717858"/>
    <w:rsid w:val="00736CCE"/>
    <w:rsid w:val="00746D8D"/>
    <w:rsid w:val="007513E4"/>
    <w:rsid w:val="00755645"/>
    <w:rsid w:val="0077116B"/>
    <w:rsid w:val="007827CB"/>
    <w:rsid w:val="00783069"/>
    <w:rsid w:val="00787634"/>
    <w:rsid w:val="00790E0F"/>
    <w:rsid w:val="00792928"/>
    <w:rsid w:val="007A1772"/>
    <w:rsid w:val="007A36EC"/>
    <w:rsid w:val="007C0BCB"/>
    <w:rsid w:val="007D039E"/>
    <w:rsid w:val="007D2AE0"/>
    <w:rsid w:val="007F0103"/>
    <w:rsid w:val="007F61BA"/>
    <w:rsid w:val="008120A7"/>
    <w:rsid w:val="00827249"/>
    <w:rsid w:val="00845BC3"/>
    <w:rsid w:val="00853574"/>
    <w:rsid w:val="00866FDC"/>
    <w:rsid w:val="00893551"/>
    <w:rsid w:val="008B6999"/>
    <w:rsid w:val="008D1EED"/>
    <w:rsid w:val="008E1568"/>
    <w:rsid w:val="00912F9A"/>
    <w:rsid w:val="00913F46"/>
    <w:rsid w:val="009722B5"/>
    <w:rsid w:val="009770D7"/>
    <w:rsid w:val="009E6C05"/>
    <w:rsid w:val="009E7265"/>
    <w:rsid w:val="009F0EF6"/>
    <w:rsid w:val="00A10A5A"/>
    <w:rsid w:val="00A46CC2"/>
    <w:rsid w:val="00A53BCE"/>
    <w:rsid w:val="00A65F43"/>
    <w:rsid w:val="00A82D49"/>
    <w:rsid w:val="00AC132A"/>
    <w:rsid w:val="00AC5F2E"/>
    <w:rsid w:val="00AD2146"/>
    <w:rsid w:val="00AE0CD8"/>
    <w:rsid w:val="00AE44EB"/>
    <w:rsid w:val="00AF0B31"/>
    <w:rsid w:val="00B17F75"/>
    <w:rsid w:val="00B341BD"/>
    <w:rsid w:val="00B50244"/>
    <w:rsid w:val="00B6117D"/>
    <w:rsid w:val="00B8471E"/>
    <w:rsid w:val="00B848DB"/>
    <w:rsid w:val="00BC1308"/>
    <w:rsid w:val="00BD0FA2"/>
    <w:rsid w:val="00BF5EC6"/>
    <w:rsid w:val="00C04B20"/>
    <w:rsid w:val="00C167B5"/>
    <w:rsid w:val="00C4602E"/>
    <w:rsid w:val="00C56037"/>
    <w:rsid w:val="00C6432C"/>
    <w:rsid w:val="00C7668C"/>
    <w:rsid w:val="00CA0463"/>
    <w:rsid w:val="00CB0FD0"/>
    <w:rsid w:val="00CC63A2"/>
    <w:rsid w:val="00CE2105"/>
    <w:rsid w:val="00CF4CCA"/>
    <w:rsid w:val="00D11B7C"/>
    <w:rsid w:val="00D15E3E"/>
    <w:rsid w:val="00D43110"/>
    <w:rsid w:val="00D524CC"/>
    <w:rsid w:val="00D62892"/>
    <w:rsid w:val="00D82470"/>
    <w:rsid w:val="00DA5EC5"/>
    <w:rsid w:val="00DE019C"/>
    <w:rsid w:val="00DF6C5C"/>
    <w:rsid w:val="00E01C47"/>
    <w:rsid w:val="00E0465C"/>
    <w:rsid w:val="00E055FC"/>
    <w:rsid w:val="00E22929"/>
    <w:rsid w:val="00E37B4E"/>
    <w:rsid w:val="00E420F4"/>
    <w:rsid w:val="00E50998"/>
    <w:rsid w:val="00E76571"/>
    <w:rsid w:val="00E77BA6"/>
    <w:rsid w:val="00E94B66"/>
    <w:rsid w:val="00EB5DCB"/>
    <w:rsid w:val="00EE3F71"/>
    <w:rsid w:val="00F01E9D"/>
    <w:rsid w:val="00F10FAB"/>
    <w:rsid w:val="00F15F85"/>
    <w:rsid w:val="00F22D14"/>
    <w:rsid w:val="00F363D0"/>
    <w:rsid w:val="00F40E33"/>
    <w:rsid w:val="00F65BF4"/>
    <w:rsid w:val="00F72D13"/>
    <w:rsid w:val="00F9646B"/>
    <w:rsid w:val="00FC60FB"/>
    <w:rsid w:val="00FE1007"/>
    <w:rsid w:val="00FE1F7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1A06D"/>
  <w15:docId w15:val="{B137D7F5-DDD3-4E51-AAC3-12544A8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CB"/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1701A1"/>
    <w:pPr>
      <w:pBdr>
        <w:bottom w:val="thickThinSmallGap" w:sz="24" w:space="1" w:color="622423" w:themeColor="accent2" w:themeShade="7F"/>
      </w:pBdr>
      <w:tabs>
        <w:tab w:val="clear" w:pos="9360"/>
        <w:tab w:val="right" w:pos="9990"/>
      </w:tabs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1A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FC"/>
    <w:pPr>
      <w:ind w:left="720"/>
      <w:contextualSpacing/>
    </w:pPr>
  </w:style>
  <w:style w:type="table" w:styleId="TableGrid">
    <w:name w:val="Table Grid"/>
    <w:basedOn w:val="TableNormal"/>
    <w:uiPriority w:val="59"/>
    <w:rsid w:val="00E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F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7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2C"/>
  </w:style>
  <w:style w:type="paragraph" w:styleId="Footer">
    <w:name w:val="footer"/>
    <w:basedOn w:val="Normal"/>
    <w:link w:val="Foot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2C"/>
  </w:style>
  <w:style w:type="paragraph" w:styleId="BalloonText">
    <w:name w:val="Balloon Text"/>
    <w:basedOn w:val="Normal"/>
    <w:link w:val="BalloonTextChar"/>
    <w:uiPriority w:val="99"/>
    <w:semiHidden/>
    <w:unhideWhenUsed/>
    <w:rsid w:val="002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27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A3479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7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79"/>
    <w:rPr>
      <w:rFonts w:ascii="Arial" w:hAnsi="Arial"/>
      <w:b/>
      <w:bCs/>
      <w:sz w:val="20"/>
      <w:szCs w:val="20"/>
    </w:rPr>
  </w:style>
  <w:style w:type="table" w:customStyle="1" w:styleId="TableGrid2">
    <w:name w:val="Table Grid2"/>
    <w:basedOn w:val="TableNormal"/>
    <w:uiPriority w:val="59"/>
    <w:rsid w:val="00F01E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3B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01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1A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hs.gov/hipaa/for-professionals/privacy/guidance/hipaa-audio-telehealth/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5b7736e9-9df8-49a6-b09e-9141c6f3dbe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paajournal.com/hipaa-guidelines-on-telemedic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mhsa.gov/section-223/care-coordination/telehealth-telemedici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urnal.ahima.org/page/solutions-for-challenges-in-telehealth-privacy-and-secur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E4E47-F169-4C6A-B8D2-EF08E7B1B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F510A-EEEB-4BCD-B876-ACB67CC1D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CD75D-B336-4F87-8287-2A1D39A53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4F752-6D17-464B-AEA6-3935BB2568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Telehealth Readiness Tool</vt:lpstr>
    </vt:vector>
  </TitlesOfParts>
  <Company>DHCS and CDPH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Telehealth Readiness Tool</dc:title>
  <dc:subject>Telehealth Readiness Tool</dc:subject>
  <dc:creator>Center for Data Insights and Innovation</dc:creator>
  <cp:keywords>Center for Data Insights and Innovation; Telehealth Readiness Tool;</cp:keywords>
  <cp:lastModifiedBy>Allyant Remediation Services</cp:lastModifiedBy>
  <cp:revision>7</cp:revision>
  <cp:lastPrinted>2020-05-05T15:45:00Z</cp:lastPrinted>
  <dcterms:created xsi:type="dcterms:W3CDTF">2023-04-11T18:42:00Z</dcterms:created>
  <dcterms:modified xsi:type="dcterms:W3CDTF">2023-05-03T20:58:00Z</dcterms:modified>
  <cp:category>Telehealth Readiness Tool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0x010100CBF8F4E189275342A146AC7B3B792B40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