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B6AD" w14:textId="53D4D494" w:rsidR="00033C23" w:rsidRDefault="00033C23" w:rsidP="00C240FD">
      <w:pPr>
        <w:pStyle w:val="H1"/>
        <w:spacing w:after="200"/>
      </w:pPr>
      <w:r>
        <w:tab/>
      </w:r>
      <w:r w:rsidRPr="00033C23">
        <w:t>SHIPM Required Policies and Procedures</w:t>
      </w:r>
      <w:r>
        <w:tab/>
      </w:r>
      <w:r>
        <w:rPr>
          <w:rFonts w:ascii="Calibri" w:eastAsia="Times New Roman" w:hAnsi="Calibri" w:cs="Calibri"/>
          <w:noProof/>
          <w:color w:val="000000"/>
          <w:shd w:val="clear" w:color="auto" w:fill="FFFFFF"/>
        </w:rPr>
        <w:drawing>
          <wp:inline distT="0" distB="0" distL="0" distR="0" wp14:anchorId="5CC31012" wp14:editId="0EF5DA60">
            <wp:extent cx="1139560" cy="463550"/>
            <wp:effectExtent l="0" t="0" r="3810" b="0"/>
            <wp:docPr id="2017596146" name="Picture 2017596146" descr="Center for Data Insights and Innovation (California Health &amp;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96146" name="Picture 2017596146" descr="Center for Data Insights and Innovation (California Health &amp; Human Services Agency) Logo"/>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46338" cy="466307"/>
                    </a:xfrm>
                    <a:prstGeom prst="rect">
                      <a:avLst/>
                    </a:prstGeom>
                    <a:noFill/>
                    <a:ln>
                      <a:noFill/>
                    </a:ln>
                  </pic:spPr>
                </pic:pic>
              </a:graphicData>
            </a:graphic>
          </wp:inline>
        </w:drawing>
      </w:r>
    </w:p>
    <w:p w14:paraId="161DDE1C" w14:textId="40EEA82C" w:rsidR="0066035D" w:rsidRPr="006D2945" w:rsidRDefault="0066035D">
      <w:pPr>
        <w:rPr>
          <w:rFonts w:ascii="Arial" w:hAnsi="Arial" w:cs="Arial"/>
          <w:sz w:val="24"/>
          <w:szCs w:val="24"/>
        </w:rPr>
      </w:pPr>
      <w:r w:rsidRPr="006D2945">
        <w:rPr>
          <w:rFonts w:ascii="Arial" w:hAnsi="Arial" w:cs="Arial"/>
          <w:sz w:val="24"/>
          <w:szCs w:val="24"/>
        </w:rPr>
        <w:t xml:space="preserve">The following provides a list of all SHIPM </w:t>
      </w:r>
      <w:r w:rsidR="001C1862" w:rsidRPr="006D2945">
        <w:rPr>
          <w:rFonts w:ascii="Arial" w:hAnsi="Arial" w:cs="Arial"/>
          <w:sz w:val="24"/>
          <w:szCs w:val="24"/>
        </w:rPr>
        <w:t>required</w:t>
      </w:r>
      <w:r w:rsidR="00DE0207" w:rsidRPr="006D2945">
        <w:rPr>
          <w:rFonts w:ascii="Arial" w:hAnsi="Arial" w:cs="Arial"/>
          <w:sz w:val="24"/>
          <w:szCs w:val="24"/>
        </w:rPr>
        <w:t xml:space="preserve"> </w:t>
      </w:r>
      <w:r w:rsidRPr="006D2945">
        <w:rPr>
          <w:rFonts w:ascii="Arial" w:hAnsi="Arial" w:cs="Arial"/>
          <w:sz w:val="24"/>
          <w:szCs w:val="24"/>
        </w:rPr>
        <w:t>policy and/or procedure documentation.</w:t>
      </w:r>
      <w:r w:rsidR="00DE0207" w:rsidRPr="006D2945">
        <w:rPr>
          <w:rFonts w:ascii="Arial" w:hAnsi="Arial" w:cs="Arial"/>
          <w:sz w:val="24"/>
          <w:szCs w:val="24"/>
        </w:rPr>
        <w:t xml:space="preserve">  </w:t>
      </w:r>
      <w:r w:rsidR="004C28BC" w:rsidRPr="006D2945">
        <w:rPr>
          <w:rFonts w:ascii="Arial" w:hAnsi="Arial" w:cs="Arial"/>
          <w:sz w:val="24"/>
          <w:szCs w:val="24"/>
        </w:rPr>
        <w:t>NOTE:  Policy and procedure documentation can be incorporated into existing documentation or as stand-alone documents.</w:t>
      </w:r>
      <w:r w:rsidR="00A71B2C">
        <w:rPr>
          <w:rFonts w:ascii="Arial" w:hAnsi="Arial" w:cs="Arial"/>
          <w:sz w:val="24"/>
          <w:szCs w:val="24"/>
        </w:rPr>
        <w:t xml:space="preserve"> </w:t>
      </w:r>
      <w:r w:rsidR="00A71B2C" w:rsidRPr="00AF1B18">
        <w:rPr>
          <w:rFonts w:ascii="Arial" w:hAnsi="Arial" w:cs="Arial"/>
          <w:sz w:val="24"/>
          <w:szCs w:val="24"/>
        </w:rPr>
        <w:t>O</w:t>
      </w:r>
      <w:r w:rsidR="00777D76">
        <w:rPr>
          <w:rFonts w:ascii="Arial" w:hAnsi="Arial" w:cs="Arial"/>
          <w:sz w:val="24"/>
          <w:szCs w:val="24"/>
        </w:rPr>
        <w:t>r</w:t>
      </w:r>
      <w:r w:rsidR="00A71B2C" w:rsidRPr="00AF1B18">
        <w:rPr>
          <w:rFonts w:ascii="Arial" w:hAnsi="Arial" w:cs="Arial"/>
          <w:sz w:val="24"/>
          <w:szCs w:val="24"/>
        </w:rPr>
        <w:t>,</w:t>
      </w:r>
      <w:r w:rsidR="00A71B2C">
        <w:rPr>
          <w:rFonts w:ascii="Arial" w:hAnsi="Arial" w:cs="Arial"/>
          <w:sz w:val="24"/>
          <w:szCs w:val="24"/>
        </w:rPr>
        <w:t xml:space="preserve"> </w:t>
      </w:r>
      <w:r w:rsidR="007568C2">
        <w:rPr>
          <w:rFonts w:ascii="Arial" w:hAnsi="Arial" w:cs="Arial"/>
          <w:sz w:val="24"/>
          <w:szCs w:val="24"/>
        </w:rPr>
        <w:t xml:space="preserve">if the topic is not applicable to your organization based on your business practices, </w:t>
      </w:r>
      <w:r w:rsidR="00777D76">
        <w:rPr>
          <w:rFonts w:ascii="Arial" w:hAnsi="Arial" w:cs="Arial"/>
          <w:sz w:val="24"/>
          <w:szCs w:val="24"/>
        </w:rPr>
        <w:t>your</w:t>
      </w:r>
      <w:r w:rsidR="00A71B2C" w:rsidRPr="00AF1B18">
        <w:rPr>
          <w:rFonts w:ascii="Arial" w:hAnsi="Arial" w:cs="Arial"/>
          <w:sz w:val="24"/>
          <w:szCs w:val="24"/>
        </w:rPr>
        <w:t xml:space="preserve"> organization</w:t>
      </w:r>
      <w:r w:rsidR="00A71B2C">
        <w:rPr>
          <w:rFonts w:ascii="Arial" w:hAnsi="Arial" w:cs="Arial"/>
          <w:sz w:val="24"/>
          <w:szCs w:val="24"/>
        </w:rPr>
        <w:t xml:space="preserve"> can create a l</w:t>
      </w:r>
      <w:r w:rsidR="00A71B2C" w:rsidRPr="00AF1B18">
        <w:rPr>
          <w:rFonts w:ascii="Arial" w:hAnsi="Arial" w:cs="Arial"/>
          <w:sz w:val="24"/>
          <w:szCs w:val="24"/>
        </w:rPr>
        <w:t>etter/</w:t>
      </w:r>
      <w:r w:rsidR="00A71B2C">
        <w:rPr>
          <w:rFonts w:ascii="Arial" w:hAnsi="Arial" w:cs="Arial"/>
          <w:sz w:val="24"/>
          <w:szCs w:val="24"/>
        </w:rPr>
        <w:t>m</w:t>
      </w:r>
      <w:r w:rsidR="00A71B2C" w:rsidRPr="00AF1B18">
        <w:rPr>
          <w:rFonts w:ascii="Arial" w:hAnsi="Arial" w:cs="Arial"/>
          <w:sz w:val="24"/>
          <w:szCs w:val="24"/>
        </w:rPr>
        <w:t xml:space="preserve">emo signed by </w:t>
      </w:r>
      <w:r w:rsidR="00A71B2C">
        <w:rPr>
          <w:rFonts w:ascii="Arial" w:hAnsi="Arial" w:cs="Arial"/>
          <w:sz w:val="24"/>
          <w:szCs w:val="24"/>
        </w:rPr>
        <w:t xml:space="preserve">the Privacy Officer or Information Security Officer </w:t>
      </w:r>
      <w:r w:rsidR="00A71B2C" w:rsidRPr="00AF1B18">
        <w:rPr>
          <w:rFonts w:ascii="Arial" w:hAnsi="Arial" w:cs="Arial"/>
          <w:sz w:val="24"/>
          <w:szCs w:val="24"/>
        </w:rPr>
        <w:t xml:space="preserve">listing </w:t>
      </w:r>
      <w:r w:rsidR="007568C2">
        <w:rPr>
          <w:rFonts w:ascii="Arial" w:hAnsi="Arial" w:cs="Arial"/>
          <w:sz w:val="24"/>
          <w:szCs w:val="24"/>
        </w:rPr>
        <w:t xml:space="preserve">the </w:t>
      </w:r>
      <w:r w:rsidR="00A71B2C" w:rsidRPr="00AF1B18">
        <w:rPr>
          <w:rFonts w:ascii="Arial" w:hAnsi="Arial" w:cs="Arial"/>
          <w:sz w:val="24"/>
          <w:szCs w:val="24"/>
        </w:rPr>
        <w:t xml:space="preserve">topics not applicable to </w:t>
      </w:r>
      <w:r w:rsidR="00A71B2C">
        <w:rPr>
          <w:rFonts w:ascii="Arial" w:hAnsi="Arial" w:cs="Arial"/>
          <w:sz w:val="24"/>
          <w:szCs w:val="24"/>
        </w:rPr>
        <w:t xml:space="preserve">the state entity with an explanation </w:t>
      </w:r>
      <w:r w:rsidR="00A71B2C" w:rsidRPr="00AF1B18">
        <w:rPr>
          <w:rFonts w:ascii="Arial" w:hAnsi="Arial" w:cs="Arial"/>
          <w:sz w:val="24"/>
          <w:szCs w:val="24"/>
        </w:rPr>
        <w:t>why</w:t>
      </w:r>
      <w:r w:rsidR="00A71B2C">
        <w:rPr>
          <w:rFonts w:ascii="Arial" w:hAnsi="Arial" w:cs="Arial"/>
          <w:sz w:val="24"/>
          <w:szCs w:val="24"/>
        </w:rPr>
        <w:t>.</w:t>
      </w:r>
    </w:p>
    <w:tbl>
      <w:tblPr>
        <w:tblStyle w:val="TableGrid"/>
        <w:tblW w:w="12893" w:type="dxa"/>
        <w:tblInd w:w="85" w:type="dxa"/>
        <w:tblLayout w:type="fixed"/>
        <w:tblLook w:val="04A0" w:firstRow="1" w:lastRow="0" w:firstColumn="1" w:lastColumn="0" w:noHBand="0" w:noVBand="1"/>
        <w:tblCaption w:val="SHIPM Required Policies and Procedures"/>
        <w:tblDescription w:val="Table contains the section and policy reference along with the SHIPM requirement regarding required policies and procedures"/>
      </w:tblPr>
      <w:tblGrid>
        <w:gridCol w:w="2093"/>
        <w:gridCol w:w="2317"/>
        <w:gridCol w:w="6863"/>
        <w:gridCol w:w="1620"/>
      </w:tblGrid>
      <w:tr w:rsidR="001C1862" w:rsidRPr="006D2945" w14:paraId="09E9F145" w14:textId="77777777" w:rsidTr="00CB196F">
        <w:trPr>
          <w:tblHeader/>
        </w:trPr>
        <w:tc>
          <w:tcPr>
            <w:tcW w:w="2093" w:type="dxa"/>
            <w:shd w:val="clear" w:color="auto" w:fill="E5DFEC" w:themeFill="accent4" w:themeFillTint="33"/>
          </w:tcPr>
          <w:p w14:paraId="12DE9624" w14:textId="77777777" w:rsidR="001C1862" w:rsidRPr="006D2945" w:rsidRDefault="001C1862" w:rsidP="00673FCB">
            <w:pPr>
              <w:jc w:val="center"/>
              <w:rPr>
                <w:rFonts w:ascii="Arial" w:hAnsi="Arial" w:cs="Arial"/>
                <w:b/>
                <w:sz w:val="24"/>
                <w:szCs w:val="24"/>
              </w:rPr>
            </w:pPr>
            <w:r w:rsidRPr="006D2945">
              <w:rPr>
                <w:rFonts w:ascii="Arial" w:hAnsi="Arial" w:cs="Arial"/>
                <w:b/>
                <w:sz w:val="24"/>
                <w:szCs w:val="24"/>
              </w:rPr>
              <w:t>SHIPM Section</w:t>
            </w:r>
          </w:p>
        </w:tc>
        <w:tc>
          <w:tcPr>
            <w:tcW w:w="2317" w:type="dxa"/>
            <w:shd w:val="clear" w:color="auto" w:fill="E5DFEC" w:themeFill="accent4" w:themeFillTint="33"/>
          </w:tcPr>
          <w:p w14:paraId="00329EE0" w14:textId="77777777" w:rsidR="001C1862" w:rsidRPr="006D2945" w:rsidRDefault="006D2945" w:rsidP="00673FCB">
            <w:pPr>
              <w:jc w:val="center"/>
              <w:rPr>
                <w:rFonts w:ascii="Arial" w:hAnsi="Arial" w:cs="Arial"/>
                <w:b/>
                <w:sz w:val="24"/>
                <w:szCs w:val="24"/>
              </w:rPr>
            </w:pPr>
            <w:r>
              <w:rPr>
                <w:rFonts w:ascii="Arial" w:hAnsi="Arial" w:cs="Arial"/>
                <w:b/>
                <w:sz w:val="24"/>
                <w:szCs w:val="24"/>
              </w:rPr>
              <w:t xml:space="preserve">SHIPM </w:t>
            </w:r>
            <w:r w:rsidRPr="006D2945">
              <w:rPr>
                <w:rFonts w:ascii="Arial" w:hAnsi="Arial" w:cs="Arial"/>
                <w:b/>
                <w:sz w:val="24"/>
                <w:szCs w:val="24"/>
              </w:rPr>
              <w:t>Policy</w:t>
            </w:r>
          </w:p>
        </w:tc>
        <w:tc>
          <w:tcPr>
            <w:tcW w:w="6863" w:type="dxa"/>
            <w:shd w:val="clear" w:color="auto" w:fill="E5DFEC" w:themeFill="accent4" w:themeFillTint="33"/>
          </w:tcPr>
          <w:p w14:paraId="3105A8E7" w14:textId="77777777" w:rsidR="001C1862" w:rsidRPr="006D2945" w:rsidRDefault="006D2945" w:rsidP="006D2945">
            <w:pPr>
              <w:jc w:val="center"/>
              <w:rPr>
                <w:rFonts w:ascii="Arial" w:hAnsi="Arial" w:cs="Arial"/>
                <w:b/>
                <w:sz w:val="24"/>
                <w:szCs w:val="24"/>
              </w:rPr>
            </w:pPr>
            <w:r>
              <w:rPr>
                <w:rFonts w:ascii="Arial" w:hAnsi="Arial" w:cs="Arial"/>
                <w:b/>
                <w:sz w:val="24"/>
                <w:szCs w:val="24"/>
              </w:rPr>
              <w:t xml:space="preserve">SHIPM </w:t>
            </w:r>
            <w:r w:rsidR="001C1862" w:rsidRPr="006D2945">
              <w:rPr>
                <w:rFonts w:ascii="Arial" w:hAnsi="Arial" w:cs="Arial"/>
                <w:b/>
                <w:sz w:val="24"/>
                <w:szCs w:val="24"/>
              </w:rPr>
              <w:t>Policy</w:t>
            </w:r>
            <w:r w:rsidRPr="006D2945">
              <w:rPr>
                <w:rFonts w:ascii="Arial" w:hAnsi="Arial" w:cs="Arial"/>
                <w:b/>
                <w:sz w:val="24"/>
                <w:szCs w:val="24"/>
              </w:rPr>
              <w:t xml:space="preserve"> Reference</w:t>
            </w:r>
            <w:r>
              <w:rPr>
                <w:rFonts w:ascii="Arial" w:hAnsi="Arial" w:cs="Arial"/>
                <w:b/>
                <w:sz w:val="24"/>
                <w:szCs w:val="24"/>
              </w:rPr>
              <w:t xml:space="preserve"> </w:t>
            </w:r>
            <w:r w:rsidRPr="006D2945">
              <w:rPr>
                <w:rFonts w:ascii="Arial" w:hAnsi="Arial" w:cs="Arial"/>
                <w:b/>
                <w:sz w:val="24"/>
                <w:szCs w:val="24"/>
              </w:rPr>
              <w:t>Requirement</w:t>
            </w:r>
            <w:r w:rsidR="001C1862" w:rsidRPr="006D2945">
              <w:rPr>
                <w:rStyle w:val="FootnoteReference"/>
                <w:rFonts w:ascii="Arial" w:hAnsi="Arial" w:cs="Arial"/>
                <w:b/>
                <w:sz w:val="24"/>
                <w:szCs w:val="24"/>
              </w:rPr>
              <w:footnoteReference w:id="1"/>
            </w:r>
          </w:p>
        </w:tc>
        <w:tc>
          <w:tcPr>
            <w:tcW w:w="1620" w:type="dxa"/>
            <w:shd w:val="clear" w:color="auto" w:fill="E5DFEC" w:themeFill="accent4" w:themeFillTint="33"/>
          </w:tcPr>
          <w:p w14:paraId="412D823B" w14:textId="77777777" w:rsidR="001C1862" w:rsidRPr="006D2945" w:rsidRDefault="001C1862" w:rsidP="00673FCB">
            <w:pPr>
              <w:jc w:val="center"/>
              <w:rPr>
                <w:rFonts w:ascii="Arial" w:hAnsi="Arial" w:cs="Arial"/>
                <w:b/>
                <w:sz w:val="24"/>
                <w:szCs w:val="24"/>
              </w:rPr>
            </w:pPr>
            <w:r w:rsidRPr="006D2945">
              <w:rPr>
                <w:rFonts w:ascii="Arial" w:hAnsi="Arial" w:cs="Arial"/>
                <w:b/>
                <w:sz w:val="24"/>
                <w:szCs w:val="24"/>
              </w:rPr>
              <w:t>Completed?</w:t>
            </w:r>
          </w:p>
        </w:tc>
      </w:tr>
      <w:tr w:rsidR="00A83766" w:rsidRPr="006D2945" w14:paraId="2FFA55A3" w14:textId="77777777" w:rsidTr="00CB196F">
        <w:tc>
          <w:tcPr>
            <w:tcW w:w="2093" w:type="dxa"/>
          </w:tcPr>
          <w:p w14:paraId="6ED9A3C1" w14:textId="77777777" w:rsidR="00A83766" w:rsidRPr="006D2945" w:rsidRDefault="00A83766" w:rsidP="009047D3">
            <w:pPr>
              <w:rPr>
                <w:rFonts w:ascii="Arial" w:hAnsi="Arial" w:cs="Arial"/>
                <w:sz w:val="24"/>
                <w:szCs w:val="24"/>
              </w:rPr>
            </w:pPr>
            <w:r w:rsidRPr="006D2945">
              <w:rPr>
                <w:rFonts w:ascii="Arial" w:hAnsi="Arial" w:cs="Arial"/>
                <w:sz w:val="24"/>
                <w:szCs w:val="24"/>
              </w:rPr>
              <w:t xml:space="preserve">2.1.0 – Authorizations </w:t>
            </w:r>
          </w:p>
        </w:tc>
        <w:tc>
          <w:tcPr>
            <w:tcW w:w="2317" w:type="dxa"/>
          </w:tcPr>
          <w:p w14:paraId="02189445" w14:textId="071755AF" w:rsidR="00A83766" w:rsidRPr="006D2945" w:rsidRDefault="00A83766" w:rsidP="00C77C52">
            <w:pPr>
              <w:rPr>
                <w:rFonts w:ascii="Arial" w:hAnsi="Arial" w:cs="Arial"/>
                <w:sz w:val="24"/>
                <w:szCs w:val="24"/>
              </w:rPr>
            </w:pPr>
            <w:r w:rsidRPr="006D2945">
              <w:rPr>
                <w:rFonts w:ascii="Arial" w:hAnsi="Arial" w:cs="Arial"/>
                <w:sz w:val="24"/>
                <w:szCs w:val="24"/>
              </w:rPr>
              <w:t>2.1.1 – Authorizations</w:t>
            </w:r>
          </w:p>
        </w:tc>
        <w:tc>
          <w:tcPr>
            <w:tcW w:w="6863" w:type="dxa"/>
          </w:tcPr>
          <w:p w14:paraId="03FCBA3E" w14:textId="76736EE2" w:rsidR="007F3283" w:rsidRPr="006D2945" w:rsidRDefault="007F3283">
            <w:pPr>
              <w:rPr>
                <w:rFonts w:ascii="Arial" w:hAnsi="Arial" w:cs="Arial"/>
                <w:sz w:val="24"/>
                <w:szCs w:val="24"/>
              </w:rPr>
            </w:pPr>
            <w:r>
              <w:rPr>
                <w:rFonts w:ascii="Arial" w:hAnsi="Arial" w:cs="Arial"/>
                <w:sz w:val="24"/>
                <w:szCs w:val="24"/>
              </w:rPr>
              <w:t>II</w:t>
            </w:r>
            <w:r w:rsidR="00713A63">
              <w:rPr>
                <w:rFonts w:ascii="Arial" w:hAnsi="Arial" w:cs="Arial"/>
                <w:sz w:val="24"/>
                <w:szCs w:val="24"/>
              </w:rPr>
              <w:t>I</w:t>
            </w:r>
            <w:r>
              <w:rPr>
                <w:rFonts w:ascii="Arial" w:hAnsi="Arial" w:cs="Arial"/>
                <w:sz w:val="24"/>
                <w:szCs w:val="24"/>
              </w:rPr>
              <w:t xml:space="preserve">. </w:t>
            </w:r>
            <w:r w:rsidRPr="006F2DC6">
              <w:rPr>
                <w:rFonts w:ascii="Arial" w:hAnsi="Arial" w:cs="Arial"/>
                <w:sz w:val="24"/>
                <w:szCs w:val="24"/>
              </w:rPr>
              <w:t>State entities are required to develop, implement, and maintain policies and procedures outlining authorization requirements (when a patient authorization is needed and what must be included).</w:t>
            </w:r>
          </w:p>
        </w:tc>
        <w:tc>
          <w:tcPr>
            <w:tcW w:w="1620" w:type="dxa"/>
          </w:tcPr>
          <w:p w14:paraId="11817F39" w14:textId="77777777" w:rsidR="00A83766" w:rsidRPr="006D2945" w:rsidRDefault="00A83766">
            <w:pPr>
              <w:rPr>
                <w:rFonts w:ascii="Arial" w:hAnsi="Arial" w:cs="Arial"/>
                <w:sz w:val="24"/>
                <w:szCs w:val="24"/>
              </w:rPr>
            </w:pPr>
          </w:p>
        </w:tc>
      </w:tr>
      <w:tr w:rsidR="00713A63" w:rsidRPr="006D2945" w14:paraId="1900A866" w14:textId="77777777" w:rsidTr="00CB196F">
        <w:tc>
          <w:tcPr>
            <w:tcW w:w="2093" w:type="dxa"/>
          </w:tcPr>
          <w:p w14:paraId="4780C87F" w14:textId="6A65C2D2" w:rsidR="00713A63" w:rsidRDefault="00713A63" w:rsidP="0094317E">
            <w:pPr>
              <w:rPr>
                <w:rFonts w:ascii="Arial" w:hAnsi="Arial" w:cs="Arial"/>
                <w:sz w:val="24"/>
                <w:szCs w:val="24"/>
              </w:rPr>
            </w:pPr>
            <w:r>
              <w:rPr>
                <w:rFonts w:ascii="Arial" w:hAnsi="Arial" w:cs="Arial"/>
                <w:sz w:val="24"/>
                <w:szCs w:val="24"/>
              </w:rPr>
              <w:t>2.2.0 – Uses and Disclosures</w:t>
            </w:r>
          </w:p>
        </w:tc>
        <w:tc>
          <w:tcPr>
            <w:tcW w:w="2317" w:type="dxa"/>
          </w:tcPr>
          <w:p w14:paraId="3298822F" w14:textId="58D6A459" w:rsidR="00713A63" w:rsidRPr="006D2945" w:rsidRDefault="00713A63" w:rsidP="00867CEF">
            <w:pPr>
              <w:rPr>
                <w:rFonts w:ascii="Arial" w:hAnsi="Arial" w:cs="Arial"/>
                <w:sz w:val="24"/>
                <w:szCs w:val="24"/>
              </w:rPr>
            </w:pPr>
            <w:r>
              <w:rPr>
                <w:rFonts w:ascii="Arial" w:hAnsi="Arial" w:cs="Arial"/>
                <w:sz w:val="24"/>
                <w:szCs w:val="24"/>
              </w:rPr>
              <w:t>2.2.1 – Decedents</w:t>
            </w:r>
          </w:p>
        </w:tc>
        <w:tc>
          <w:tcPr>
            <w:tcW w:w="6863" w:type="dxa"/>
          </w:tcPr>
          <w:p w14:paraId="1FC71AF2" w14:textId="37A04C0D" w:rsidR="00713A63" w:rsidRPr="006D2945" w:rsidRDefault="00713A63" w:rsidP="00730E4F">
            <w:pPr>
              <w:rPr>
                <w:rFonts w:ascii="Arial" w:hAnsi="Arial" w:cs="Arial"/>
                <w:sz w:val="24"/>
                <w:szCs w:val="24"/>
              </w:rPr>
            </w:pPr>
            <w:r>
              <w:rPr>
                <w:rFonts w:ascii="Arial" w:hAnsi="Arial" w:cs="Arial"/>
                <w:sz w:val="24"/>
                <w:szCs w:val="24"/>
              </w:rPr>
              <w:t xml:space="preserve">III.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utilized to safeguard health information of decedents.</w:t>
            </w:r>
          </w:p>
        </w:tc>
        <w:tc>
          <w:tcPr>
            <w:tcW w:w="1620" w:type="dxa"/>
          </w:tcPr>
          <w:p w14:paraId="34616F89" w14:textId="77777777" w:rsidR="00713A63" w:rsidRPr="006D2945" w:rsidRDefault="00713A63">
            <w:pPr>
              <w:rPr>
                <w:rFonts w:ascii="Arial" w:hAnsi="Arial" w:cs="Arial"/>
                <w:sz w:val="24"/>
                <w:szCs w:val="24"/>
              </w:rPr>
            </w:pPr>
          </w:p>
        </w:tc>
      </w:tr>
      <w:tr w:rsidR="005C4A4D" w:rsidRPr="006D2945" w14:paraId="6AD30B77" w14:textId="77777777" w:rsidTr="00CB196F">
        <w:tc>
          <w:tcPr>
            <w:tcW w:w="2093" w:type="dxa"/>
          </w:tcPr>
          <w:p w14:paraId="1BE447FB" w14:textId="187834A6" w:rsidR="005C4A4D" w:rsidRDefault="005C4A4D" w:rsidP="005C4A4D">
            <w:pPr>
              <w:rPr>
                <w:rFonts w:ascii="Arial" w:hAnsi="Arial" w:cs="Arial"/>
                <w:sz w:val="24"/>
                <w:szCs w:val="24"/>
              </w:rPr>
            </w:pPr>
            <w:r w:rsidRPr="00F549C3">
              <w:rPr>
                <w:rFonts w:ascii="Arial" w:hAnsi="Arial" w:cs="Arial"/>
                <w:sz w:val="24"/>
                <w:szCs w:val="24"/>
              </w:rPr>
              <w:t>2.2.0 – Uses and Disclosures</w:t>
            </w:r>
          </w:p>
        </w:tc>
        <w:tc>
          <w:tcPr>
            <w:tcW w:w="2317" w:type="dxa"/>
          </w:tcPr>
          <w:p w14:paraId="1FAA1AC3" w14:textId="40CBACC0" w:rsidR="005C4A4D" w:rsidRPr="006D2945" w:rsidRDefault="005C4A4D" w:rsidP="005C4A4D">
            <w:pPr>
              <w:rPr>
                <w:rFonts w:ascii="Arial" w:hAnsi="Arial" w:cs="Arial"/>
                <w:sz w:val="24"/>
                <w:szCs w:val="24"/>
              </w:rPr>
            </w:pPr>
            <w:r>
              <w:rPr>
                <w:rFonts w:ascii="Arial" w:hAnsi="Arial" w:cs="Arial"/>
                <w:sz w:val="24"/>
                <w:szCs w:val="24"/>
              </w:rPr>
              <w:t xml:space="preserve">2.2.2 – Employers </w:t>
            </w:r>
          </w:p>
        </w:tc>
        <w:tc>
          <w:tcPr>
            <w:tcW w:w="6863" w:type="dxa"/>
          </w:tcPr>
          <w:p w14:paraId="5BD1759E" w14:textId="59C2597E" w:rsidR="005C4A4D" w:rsidRPr="006D2945" w:rsidRDefault="005C4A4D" w:rsidP="005C4A4D">
            <w:pPr>
              <w:rPr>
                <w:rFonts w:ascii="Arial" w:hAnsi="Arial" w:cs="Arial"/>
                <w:sz w:val="24"/>
                <w:szCs w:val="24"/>
              </w:rPr>
            </w:pPr>
            <w:r w:rsidRPr="006F2DC6">
              <w:rPr>
                <w:rFonts w:ascii="Arial" w:hAnsi="Arial"/>
                <w:sz w:val="24"/>
                <w:szCs w:val="24"/>
              </w:rPr>
              <w:t xml:space="preserve">III. 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utilized to ensure the minimum amount of health information is disclosed to an employer only with a valid authorization.</w:t>
            </w:r>
          </w:p>
        </w:tc>
        <w:tc>
          <w:tcPr>
            <w:tcW w:w="1620" w:type="dxa"/>
          </w:tcPr>
          <w:p w14:paraId="0D9A12E1" w14:textId="77777777" w:rsidR="005C4A4D" w:rsidRPr="006D2945" w:rsidRDefault="005C4A4D" w:rsidP="005C4A4D">
            <w:pPr>
              <w:rPr>
                <w:rFonts w:ascii="Arial" w:hAnsi="Arial" w:cs="Arial"/>
                <w:sz w:val="24"/>
                <w:szCs w:val="24"/>
              </w:rPr>
            </w:pPr>
          </w:p>
        </w:tc>
      </w:tr>
      <w:tr w:rsidR="005C4A4D" w:rsidRPr="006D2945" w14:paraId="13679F67" w14:textId="77777777" w:rsidTr="00CB196F">
        <w:tc>
          <w:tcPr>
            <w:tcW w:w="2093" w:type="dxa"/>
          </w:tcPr>
          <w:p w14:paraId="21FFDD2E" w14:textId="568881D2" w:rsidR="005C4A4D" w:rsidRDefault="005C4A4D" w:rsidP="005C4A4D">
            <w:pPr>
              <w:rPr>
                <w:rFonts w:ascii="Arial" w:hAnsi="Arial" w:cs="Arial"/>
                <w:sz w:val="24"/>
                <w:szCs w:val="24"/>
              </w:rPr>
            </w:pPr>
            <w:r w:rsidRPr="00F549C3">
              <w:rPr>
                <w:rFonts w:ascii="Arial" w:hAnsi="Arial" w:cs="Arial"/>
                <w:sz w:val="24"/>
                <w:szCs w:val="24"/>
              </w:rPr>
              <w:t>2.2.0 – Uses and Disclosures</w:t>
            </w:r>
          </w:p>
        </w:tc>
        <w:tc>
          <w:tcPr>
            <w:tcW w:w="2317" w:type="dxa"/>
          </w:tcPr>
          <w:p w14:paraId="6FD4E65B" w14:textId="6A37A53A" w:rsidR="005C4A4D" w:rsidRPr="006D2945" w:rsidRDefault="005C4A4D" w:rsidP="005C4A4D">
            <w:pPr>
              <w:rPr>
                <w:rFonts w:ascii="Arial" w:hAnsi="Arial" w:cs="Arial"/>
                <w:sz w:val="24"/>
                <w:szCs w:val="24"/>
              </w:rPr>
            </w:pPr>
            <w:r>
              <w:rPr>
                <w:rFonts w:ascii="Arial" w:hAnsi="Arial" w:cs="Arial"/>
                <w:sz w:val="24"/>
                <w:szCs w:val="24"/>
              </w:rPr>
              <w:t xml:space="preserve">2.2.3 – Fundraising </w:t>
            </w:r>
          </w:p>
        </w:tc>
        <w:tc>
          <w:tcPr>
            <w:tcW w:w="6863" w:type="dxa"/>
          </w:tcPr>
          <w:p w14:paraId="5596172F" w14:textId="0AE1E45F" w:rsidR="005C4A4D" w:rsidRPr="006D2945" w:rsidRDefault="005C4A4D" w:rsidP="005C4A4D">
            <w:pPr>
              <w:rPr>
                <w:rFonts w:ascii="Arial" w:hAnsi="Arial" w:cs="Arial"/>
                <w:sz w:val="24"/>
                <w:szCs w:val="24"/>
              </w:rPr>
            </w:pPr>
            <w:r w:rsidRPr="00EB2BC3">
              <w:rPr>
                <w:rFonts w:ascii="Arial" w:hAnsi="Arial"/>
                <w:sz w:val="24"/>
                <w:szCs w:val="24"/>
              </w:rPr>
              <w:t xml:space="preserve">III.A.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used to prevent fundraising activities without a valid authorization.</w:t>
            </w:r>
          </w:p>
        </w:tc>
        <w:tc>
          <w:tcPr>
            <w:tcW w:w="1620" w:type="dxa"/>
          </w:tcPr>
          <w:p w14:paraId="7A045617" w14:textId="77777777" w:rsidR="005C4A4D" w:rsidRPr="006D2945" w:rsidRDefault="005C4A4D" w:rsidP="005C4A4D">
            <w:pPr>
              <w:rPr>
                <w:rFonts w:ascii="Arial" w:hAnsi="Arial" w:cs="Arial"/>
                <w:sz w:val="24"/>
                <w:szCs w:val="24"/>
              </w:rPr>
            </w:pPr>
          </w:p>
        </w:tc>
      </w:tr>
      <w:tr w:rsidR="005C4A4D" w:rsidRPr="006D2945" w14:paraId="3C7FD342" w14:textId="77777777" w:rsidTr="00CB196F">
        <w:tc>
          <w:tcPr>
            <w:tcW w:w="2093" w:type="dxa"/>
          </w:tcPr>
          <w:p w14:paraId="462623ED" w14:textId="4DE933FF" w:rsidR="005C4A4D" w:rsidRDefault="005C4A4D" w:rsidP="005C4A4D">
            <w:pPr>
              <w:rPr>
                <w:rFonts w:ascii="Arial" w:hAnsi="Arial" w:cs="Arial"/>
                <w:sz w:val="24"/>
                <w:szCs w:val="24"/>
              </w:rPr>
            </w:pPr>
            <w:r w:rsidRPr="00F549C3">
              <w:rPr>
                <w:rFonts w:ascii="Arial" w:hAnsi="Arial" w:cs="Arial"/>
                <w:sz w:val="24"/>
                <w:szCs w:val="24"/>
              </w:rPr>
              <w:lastRenderedPageBreak/>
              <w:t>2.2.0 – Uses and Disclosures</w:t>
            </w:r>
          </w:p>
        </w:tc>
        <w:tc>
          <w:tcPr>
            <w:tcW w:w="2317" w:type="dxa"/>
          </w:tcPr>
          <w:p w14:paraId="403D0EA5" w14:textId="3980A0E2" w:rsidR="005C4A4D" w:rsidRPr="006D2945" w:rsidRDefault="005C4A4D" w:rsidP="005C4A4D">
            <w:pPr>
              <w:rPr>
                <w:rFonts w:ascii="Arial" w:hAnsi="Arial" w:cs="Arial"/>
                <w:sz w:val="24"/>
                <w:szCs w:val="24"/>
              </w:rPr>
            </w:pPr>
            <w:r>
              <w:rPr>
                <w:rFonts w:ascii="Arial" w:hAnsi="Arial" w:cs="Arial"/>
                <w:sz w:val="24"/>
                <w:szCs w:val="24"/>
              </w:rPr>
              <w:t>2.2.4 – Health Oversight</w:t>
            </w:r>
          </w:p>
        </w:tc>
        <w:tc>
          <w:tcPr>
            <w:tcW w:w="6863" w:type="dxa"/>
          </w:tcPr>
          <w:p w14:paraId="016797BA" w14:textId="46928D64" w:rsidR="005C4A4D" w:rsidRPr="006D2945" w:rsidRDefault="005C4A4D" w:rsidP="005C4A4D">
            <w:pPr>
              <w:rPr>
                <w:rFonts w:ascii="Arial" w:hAnsi="Arial" w:cs="Arial"/>
                <w:sz w:val="24"/>
                <w:szCs w:val="24"/>
              </w:rPr>
            </w:pPr>
            <w:r w:rsidRPr="00EB2BC3">
              <w:rPr>
                <w:rFonts w:ascii="Arial" w:hAnsi="Arial"/>
                <w:sz w:val="24"/>
                <w:szCs w:val="24"/>
              </w:rPr>
              <w:t xml:space="preserve">III.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related to the use and disclosure of health information to government agencies performing health oversight activities.</w:t>
            </w:r>
            <w:r w:rsidRPr="00A642A7">
              <w:rPr>
                <w:rStyle w:val="Hyperlink"/>
                <w:rFonts w:cs="Arial"/>
              </w:rPr>
              <w:t xml:space="preserve">  </w:t>
            </w:r>
          </w:p>
        </w:tc>
        <w:tc>
          <w:tcPr>
            <w:tcW w:w="1620" w:type="dxa"/>
          </w:tcPr>
          <w:p w14:paraId="7E346E7E" w14:textId="77777777" w:rsidR="005C4A4D" w:rsidRPr="006D2945" w:rsidRDefault="005C4A4D" w:rsidP="005C4A4D">
            <w:pPr>
              <w:rPr>
                <w:rFonts w:ascii="Arial" w:hAnsi="Arial" w:cs="Arial"/>
                <w:sz w:val="24"/>
                <w:szCs w:val="24"/>
              </w:rPr>
            </w:pPr>
          </w:p>
        </w:tc>
      </w:tr>
      <w:tr w:rsidR="005C4A4D" w:rsidRPr="006D2945" w14:paraId="5AAADE06" w14:textId="77777777" w:rsidTr="006F2DC6">
        <w:trPr>
          <w:cantSplit/>
        </w:trPr>
        <w:tc>
          <w:tcPr>
            <w:tcW w:w="2093" w:type="dxa"/>
          </w:tcPr>
          <w:p w14:paraId="3626680F" w14:textId="54EC4D6E" w:rsidR="005C4A4D"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7A72D406" w14:textId="6A24D872" w:rsidR="005C4A4D" w:rsidRPr="006D2945" w:rsidRDefault="005C4A4D" w:rsidP="005C4A4D">
            <w:pPr>
              <w:rPr>
                <w:rFonts w:ascii="Arial" w:hAnsi="Arial" w:cs="Arial"/>
                <w:sz w:val="24"/>
                <w:szCs w:val="24"/>
              </w:rPr>
            </w:pPr>
            <w:r>
              <w:rPr>
                <w:rFonts w:ascii="Arial" w:hAnsi="Arial" w:cs="Arial"/>
                <w:sz w:val="24"/>
                <w:szCs w:val="24"/>
              </w:rPr>
              <w:t xml:space="preserve">2.2.5 – Judicial and Administrative Proceedings </w:t>
            </w:r>
          </w:p>
        </w:tc>
        <w:tc>
          <w:tcPr>
            <w:tcW w:w="6863" w:type="dxa"/>
          </w:tcPr>
          <w:p w14:paraId="223CDC73" w14:textId="448A10B8" w:rsidR="005C4A4D" w:rsidRPr="006D2945" w:rsidRDefault="005C4A4D" w:rsidP="005C4A4D">
            <w:pPr>
              <w:rPr>
                <w:rFonts w:ascii="Arial" w:hAnsi="Arial" w:cs="Arial"/>
                <w:sz w:val="24"/>
                <w:szCs w:val="24"/>
              </w:rPr>
            </w:pPr>
            <w:r w:rsidRPr="00EB2BC3">
              <w:rPr>
                <w:rFonts w:ascii="Arial" w:hAnsi="Arial"/>
                <w:sz w:val="24"/>
                <w:szCs w:val="24"/>
              </w:rPr>
              <w:t xml:space="preserve">III. </w:t>
            </w:r>
            <w:r w:rsidRPr="006F2DC6">
              <w:rPr>
                <w:rFonts w:ascii="Arial" w:hAnsi="Arial"/>
                <w:sz w:val="24"/>
                <w:szCs w:val="24"/>
              </w:rPr>
              <w:t xml:space="preserve">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related to the use and disclosure of health information related to a judicial or administrative proceeding.</w:t>
            </w:r>
            <w:r w:rsidRPr="00A642A7">
              <w:rPr>
                <w:rStyle w:val="Hyperlink"/>
                <w:rFonts w:cs="Arial"/>
              </w:rPr>
              <w:t xml:space="preserve">  </w:t>
            </w:r>
          </w:p>
        </w:tc>
        <w:tc>
          <w:tcPr>
            <w:tcW w:w="1620" w:type="dxa"/>
          </w:tcPr>
          <w:p w14:paraId="13E1DB68" w14:textId="77777777" w:rsidR="005C4A4D" w:rsidRPr="006D2945" w:rsidRDefault="005C4A4D" w:rsidP="005C4A4D">
            <w:pPr>
              <w:rPr>
                <w:rFonts w:ascii="Arial" w:hAnsi="Arial" w:cs="Arial"/>
                <w:sz w:val="24"/>
                <w:szCs w:val="24"/>
              </w:rPr>
            </w:pPr>
          </w:p>
        </w:tc>
      </w:tr>
      <w:tr w:rsidR="005C4A4D" w:rsidRPr="006D2945" w14:paraId="5A4DAD32" w14:textId="77777777" w:rsidTr="00CB196F">
        <w:tc>
          <w:tcPr>
            <w:tcW w:w="2093" w:type="dxa"/>
          </w:tcPr>
          <w:p w14:paraId="46AC15B6" w14:textId="086360F0" w:rsidR="005C4A4D"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52C9B0FF" w14:textId="06D98AF3" w:rsidR="005C4A4D" w:rsidRPr="006D2945" w:rsidRDefault="005C4A4D" w:rsidP="005C4A4D">
            <w:pPr>
              <w:rPr>
                <w:rFonts w:ascii="Arial" w:hAnsi="Arial" w:cs="Arial"/>
                <w:sz w:val="24"/>
                <w:szCs w:val="24"/>
              </w:rPr>
            </w:pPr>
            <w:r>
              <w:rPr>
                <w:rFonts w:ascii="Arial" w:hAnsi="Arial" w:cs="Arial"/>
                <w:sz w:val="24"/>
                <w:szCs w:val="24"/>
              </w:rPr>
              <w:t>2.2.6 – Law Enforcement</w:t>
            </w:r>
          </w:p>
        </w:tc>
        <w:tc>
          <w:tcPr>
            <w:tcW w:w="6863" w:type="dxa"/>
          </w:tcPr>
          <w:p w14:paraId="1E980439" w14:textId="07E9E4DF" w:rsidR="005C4A4D" w:rsidRPr="006D2945" w:rsidRDefault="005C4A4D" w:rsidP="005C4A4D">
            <w:pPr>
              <w:rPr>
                <w:rFonts w:ascii="Arial" w:hAnsi="Arial" w:cs="Arial"/>
                <w:sz w:val="24"/>
                <w:szCs w:val="24"/>
              </w:rPr>
            </w:pPr>
            <w:r w:rsidRPr="006F2DC6">
              <w:rPr>
                <w:rFonts w:ascii="Arial" w:hAnsi="Arial"/>
                <w:sz w:val="24"/>
                <w:szCs w:val="24"/>
              </w:rPr>
              <w:t xml:space="preserve">III. While not specifically required by law, </w:t>
            </w:r>
            <w:r w:rsidR="000A095F">
              <w:rPr>
                <w:rFonts w:ascii="Arial" w:hAnsi="Arial"/>
                <w:sz w:val="24"/>
                <w:szCs w:val="24"/>
              </w:rPr>
              <w:t>CDII</w:t>
            </w:r>
            <w:r w:rsidRPr="006F2DC6">
              <w:rPr>
                <w:rFonts w:ascii="Arial" w:hAnsi="Arial"/>
                <w:sz w:val="24"/>
                <w:szCs w:val="24"/>
              </w:rPr>
              <w:t xml:space="preserve"> requires state entities to develop, implement, and maintain policies and procedures describing the measures and processes (what and how) related to the use and disclosure of health information for law enforcement purposes.</w:t>
            </w:r>
            <w:r w:rsidRPr="00A642A7">
              <w:rPr>
                <w:rStyle w:val="Hyperlink"/>
                <w:rFonts w:cs="Arial"/>
              </w:rPr>
              <w:t xml:space="preserve">  </w:t>
            </w:r>
          </w:p>
        </w:tc>
        <w:tc>
          <w:tcPr>
            <w:tcW w:w="1620" w:type="dxa"/>
          </w:tcPr>
          <w:p w14:paraId="48E6D387" w14:textId="77777777" w:rsidR="005C4A4D" w:rsidRPr="006D2945" w:rsidRDefault="005C4A4D" w:rsidP="005C4A4D">
            <w:pPr>
              <w:rPr>
                <w:rFonts w:ascii="Arial" w:hAnsi="Arial" w:cs="Arial"/>
                <w:sz w:val="24"/>
                <w:szCs w:val="24"/>
              </w:rPr>
            </w:pPr>
          </w:p>
        </w:tc>
      </w:tr>
      <w:tr w:rsidR="005C4A4D" w:rsidRPr="006D2945" w14:paraId="4EBCF46B" w14:textId="77777777" w:rsidTr="00CB196F">
        <w:tc>
          <w:tcPr>
            <w:tcW w:w="2093" w:type="dxa"/>
          </w:tcPr>
          <w:p w14:paraId="31B411B0" w14:textId="678A80D8"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6417695C"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2.2.7 – Marketing </w:t>
            </w:r>
          </w:p>
        </w:tc>
        <w:tc>
          <w:tcPr>
            <w:tcW w:w="6863" w:type="dxa"/>
          </w:tcPr>
          <w:p w14:paraId="7131DD80"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III. A. Enforcement entities are responsible for maintaining policies and procedures that outline the details and restrictions of marketing activities. </w:t>
            </w:r>
          </w:p>
        </w:tc>
        <w:tc>
          <w:tcPr>
            <w:tcW w:w="1620" w:type="dxa"/>
          </w:tcPr>
          <w:p w14:paraId="210B6F63" w14:textId="77777777" w:rsidR="005C4A4D" w:rsidRPr="006D2945" w:rsidRDefault="005C4A4D" w:rsidP="005C4A4D">
            <w:pPr>
              <w:rPr>
                <w:rFonts w:ascii="Arial" w:hAnsi="Arial" w:cs="Arial"/>
                <w:sz w:val="24"/>
                <w:szCs w:val="24"/>
              </w:rPr>
            </w:pPr>
          </w:p>
        </w:tc>
      </w:tr>
      <w:tr w:rsidR="005C4A4D" w:rsidRPr="006D2945" w14:paraId="79B8A7AD" w14:textId="77777777" w:rsidTr="00CB196F">
        <w:tc>
          <w:tcPr>
            <w:tcW w:w="2093" w:type="dxa"/>
          </w:tcPr>
          <w:p w14:paraId="41F98357" w14:textId="477DDE5F"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1C306B9C"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2.2.8 – Opportunity to Agree or Object </w:t>
            </w:r>
          </w:p>
        </w:tc>
        <w:tc>
          <w:tcPr>
            <w:tcW w:w="6863" w:type="dxa"/>
          </w:tcPr>
          <w:p w14:paraId="089D12B2" w14:textId="480706B1" w:rsidR="005C4A4D" w:rsidRPr="00EB2BC3" w:rsidRDefault="005C4A4D" w:rsidP="005C4A4D">
            <w:pPr>
              <w:rPr>
                <w:rFonts w:ascii="Arial" w:hAnsi="Arial"/>
                <w:sz w:val="24"/>
              </w:rPr>
            </w:pPr>
            <w:r w:rsidRPr="00EB2BC3">
              <w:rPr>
                <w:rFonts w:ascii="Arial" w:hAnsi="Arial"/>
                <w:sz w:val="24"/>
                <w:szCs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allow patients the opportunity to agree, or object to specific uses and disclosures of their health information.</w:t>
            </w:r>
          </w:p>
        </w:tc>
        <w:tc>
          <w:tcPr>
            <w:tcW w:w="1620" w:type="dxa"/>
          </w:tcPr>
          <w:p w14:paraId="0CE2F409" w14:textId="77777777" w:rsidR="005C4A4D" w:rsidRPr="006D2945" w:rsidRDefault="005C4A4D" w:rsidP="005C4A4D">
            <w:pPr>
              <w:rPr>
                <w:rFonts w:ascii="Arial" w:hAnsi="Arial" w:cs="Arial"/>
                <w:sz w:val="24"/>
                <w:szCs w:val="24"/>
              </w:rPr>
            </w:pPr>
          </w:p>
        </w:tc>
      </w:tr>
      <w:tr w:rsidR="005C4A4D" w:rsidRPr="006D2945" w14:paraId="745D40B4" w14:textId="77777777" w:rsidTr="00CB196F">
        <w:tc>
          <w:tcPr>
            <w:tcW w:w="2093" w:type="dxa"/>
          </w:tcPr>
          <w:p w14:paraId="3FC85ED2" w14:textId="42C8BEAC"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04EA79C8" w14:textId="4BB3C9C3" w:rsidR="005C4A4D" w:rsidRPr="006D2945" w:rsidRDefault="005C4A4D" w:rsidP="005C4A4D">
            <w:pPr>
              <w:rPr>
                <w:rFonts w:ascii="Arial" w:hAnsi="Arial" w:cs="Arial"/>
                <w:sz w:val="24"/>
                <w:szCs w:val="24"/>
              </w:rPr>
            </w:pPr>
            <w:r>
              <w:rPr>
                <w:rFonts w:ascii="Arial" w:hAnsi="Arial" w:cs="Arial"/>
                <w:sz w:val="24"/>
                <w:szCs w:val="24"/>
              </w:rPr>
              <w:t>2.2.9 – Organ Procurement</w:t>
            </w:r>
          </w:p>
        </w:tc>
        <w:tc>
          <w:tcPr>
            <w:tcW w:w="6863" w:type="dxa"/>
          </w:tcPr>
          <w:p w14:paraId="324E98D1" w14:textId="6C80AA90" w:rsidR="005C4A4D" w:rsidRPr="006F2DC6" w:rsidRDefault="005C4A4D" w:rsidP="005C4A4D">
            <w:pPr>
              <w:rPr>
                <w:rFonts w:cs="Arial"/>
                <w:color w:val="0000FF" w:themeColor="hyperlink"/>
                <w:u w:val="single"/>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a deceased patient’s health information for organ procurement.</w:t>
            </w:r>
          </w:p>
        </w:tc>
        <w:tc>
          <w:tcPr>
            <w:tcW w:w="1620" w:type="dxa"/>
          </w:tcPr>
          <w:p w14:paraId="0C495562" w14:textId="77777777" w:rsidR="005C4A4D" w:rsidRPr="006D2945" w:rsidRDefault="005C4A4D" w:rsidP="005C4A4D">
            <w:pPr>
              <w:rPr>
                <w:rFonts w:ascii="Arial" w:hAnsi="Arial" w:cs="Arial"/>
                <w:sz w:val="24"/>
                <w:szCs w:val="24"/>
              </w:rPr>
            </w:pPr>
          </w:p>
        </w:tc>
      </w:tr>
      <w:tr w:rsidR="005C4A4D" w:rsidRPr="006D2945" w14:paraId="1E2A954D" w14:textId="77777777" w:rsidTr="00CB196F">
        <w:tc>
          <w:tcPr>
            <w:tcW w:w="2093" w:type="dxa"/>
          </w:tcPr>
          <w:p w14:paraId="4812D432" w14:textId="2A47B65C" w:rsidR="005C4A4D" w:rsidRPr="006D2945" w:rsidRDefault="005C4A4D" w:rsidP="005C4A4D">
            <w:pPr>
              <w:rPr>
                <w:rFonts w:ascii="Arial" w:hAnsi="Arial" w:cs="Arial"/>
                <w:sz w:val="24"/>
                <w:szCs w:val="24"/>
              </w:rPr>
            </w:pPr>
            <w:r w:rsidRPr="00CE6547">
              <w:rPr>
                <w:rFonts w:ascii="Arial" w:hAnsi="Arial" w:cs="Arial"/>
                <w:sz w:val="24"/>
                <w:szCs w:val="24"/>
              </w:rPr>
              <w:t>2.2.0 – Uses and Disclosures</w:t>
            </w:r>
          </w:p>
        </w:tc>
        <w:tc>
          <w:tcPr>
            <w:tcW w:w="2317" w:type="dxa"/>
          </w:tcPr>
          <w:p w14:paraId="15635E1B" w14:textId="624D9A9C" w:rsidR="005C4A4D" w:rsidRPr="006D2945" w:rsidRDefault="005C4A4D" w:rsidP="005C4A4D">
            <w:pPr>
              <w:rPr>
                <w:rFonts w:ascii="Arial" w:hAnsi="Arial" w:cs="Arial"/>
                <w:sz w:val="24"/>
                <w:szCs w:val="24"/>
              </w:rPr>
            </w:pPr>
            <w:r>
              <w:rPr>
                <w:rFonts w:ascii="Arial" w:hAnsi="Arial" w:cs="Arial"/>
                <w:sz w:val="24"/>
                <w:szCs w:val="24"/>
              </w:rPr>
              <w:t xml:space="preserve">2.2.10 – Public Health Activities </w:t>
            </w:r>
          </w:p>
        </w:tc>
        <w:tc>
          <w:tcPr>
            <w:tcW w:w="6863" w:type="dxa"/>
          </w:tcPr>
          <w:p w14:paraId="201DE06B" w14:textId="389EE2C9"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w:t>
            </w:r>
            <w:r w:rsidRPr="006F2DC6">
              <w:rPr>
                <w:rFonts w:ascii="Arial" w:hAnsi="Arial"/>
                <w:sz w:val="24"/>
              </w:rPr>
              <w:lastRenderedPageBreak/>
              <w:t>procedures describing the measures and processes (what and how) utilized to disclose health information for public health activities.</w:t>
            </w:r>
          </w:p>
        </w:tc>
        <w:tc>
          <w:tcPr>
            <w:tcW w:w="1620" w:type="dxa"/>
          </w:tcPr>
          <w:p w14:paraId="35371B99" w14:textId="77777777" w:rsidR="005C4A4D" w:rsidRPr="006D2945" w:rsidRDefault="005C4A4D" w:rsidP="005C4A4D">
            <w:pPr>
              <w:rPr>
                <w:rFonts w:ascii="Arial" w:hAnsi="Arial" w:cs="Arial"/>
                <w:sz w:val="24"/>
                <w:szCs w:val="24"/>
              </w:rPr>
            </w:pPr>
          </w:p>
        </w:tc>
      </w:tr>
      <w:tr w:rsidR="005C4A4D" w:rsidRPr="006D2945" w14:paraId="2589DA1D" w14:textId="77777777" w:rsidTr="006F2DC6">
        <w:trPr>
          <w:cantSplit/>
        </w:trPr>
        <w:tc>
          <w:tcPr>
            <w:tcW w:w="2093" w:type="dxa"/>
          </w:tcPr>
          <w:p w14:paraId="7D1B28B2" w14:textId="3A6C9016"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15F5255C" w14:textId="3C43CE3C" w:rsidR="005C4A4D" w:rsidRPr="006D2945" w:rsidRDefault="005C4A4D" w:rsidP="005C4A4D">
            <w:pPr>
              <w:rPr>
                <w:rFonts w:ascii="Arial" w:hAnsi="Arial" w:cs="Arial"/>
                <w:sz w:val="24"/>
                <w:szCs w:val="24"/>
              </w:rPr>
            </w:pPr>
            <w:r>
              <w:rPr>
                <w:rFonts w:ascii="Arial" w:hAnsi="Arial" w:cs="Arial"/>
                <w:sz w:val="24"/>
                <w:szCs w:val="24"/>
              </w:rPr>
              <w:t>2.2.11 – Required by Law and Required Disclosures</w:t>
            </w:r>
          </w:p>
        </w:tc>
        <w:tc>
          <w:tcPr>
            <w:tcW w:w="6863" w:type="dxa"/>
          </w:tcPr>
          <w:p w14:paraId="78A6F516" w14:textId="37F3F904"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health information when required or mandated by law.</w:t>
            </w:r>
          </w:p>
        </w:tc>
        <w:tc>
          <w:tcPr>
            <w:tcW w:w="1620" w:type="dxa"/>
          </w:tcPr>
          <w:p w14:paraId="381555D0" w14:textId="77777777" w:rsidR="005C4A4D" w:rsidRPr="006D2945" w:rsidRDefault="005C4A4D" w:rsidP="005C4A4D">
            <w:pPr>
              <w:rPr>
                <w:rFonts w:ascii="Arial" w:hAnsi="Arial" w:cs="Arial"/>
                <w:sz w:val="24"/>
                <w:szCs w:val="24"/>
              </w:rPr>
            </w:pPr>
          </w:p>
        </w:tc>
      </w:tr>
      <w:tr w:rsidR="005C4A4D" w:rsidRPr="006D2945" w14:paraId="4910967A" w14:textId="77777777" w:rsidTr="00CB196F">
        <w:tc>
          <w:tcPr>
            <w:tcW w:w="2093" w:type="dxa"/>
          </w:tcPr>
          <w:p w14:paraId="7839C5E4" w14:textId="71E0729B"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5B69B1FD" w14:textId="378A0965" w:rsidR="005C4A4D" w:rsidRPr="006D2945" w:rsidRDefault="005C4A4D" w:rsidP="005C4A4D">
            <w:pPr>
              <w:rPr>
                <w:rFonts w:ascii="Arial" w:hAnsi="Arial" w:cs="Arial"/>
                <w:sz w:val="24"/>
                <w:szCs w:val="24"/>
              </w:rPr>
            </w:pPr>
            <w:r>
              <w:rPr>
                <w:rFonts w:ascii="Arial" w:hAnsi="Arial" w:cs="Arial"/>
                <w:sz w:val="24"/>
                <w:szCs w:val="24"/>
              </w:rPr>
              <w:t xml:space="preserve">2.2.12 – Research </w:t>
            </w:r>
          </w:p>
        </w:tc>
        <w:tc>
          <w:tcPr>
            <w:tcW w:w="6863" w:type="dxa"/>
          </w:tcPr>
          <w:p w14:paraId="00DE21FD" w14:textId="24575BCD"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health information for research purposes.</w:t>
            </w:r>
          </w:p>
        </w:tc>
        <w:tc>
          <w:tcPr>
            <w:tcW w:w="1620" w:type="dxa"/>
          </w:tcPr>
          <w:p w14:paraId="64CA89AD" w14:textId="77777777" w:rsidR="005C4A4D" w:rsidRPr="006D2945" w:rsidRDefault="005C4A4D" w:rsidP="005C4A4D">
            <w:pPr>
              <w:rPr>
                <w:rFonts w:ascii="Arial" w:hAnsi="Arial" w:cs="Arial"/>
                <w:sz w:val="24"/>
                <w:szCs w:val="24"/>
              </w:rPr>
            </w:pPr>
          </w:p>
        </w:tc>
      </w:tr>
      <w:tr w:rsidR="005C4A4D" w:rsidRPr="006D2945" w14:paraId="1E4B1530" w14:textId="77777777" w:rsidTr="00CB196F">
        <w:tc>
          <w:tcPr>
            <w:tcW w:w="2093" w:type="dxa"/>
          </w:tcPr>
          <w:p w14:paraId="4BEA33FC" w14:textId="4A99A39D"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72D92EA6" w14:textId="0B8C7FAE" w:rsidR="005C4A4D" w:rsidRPr="006D2945" w:rsidRDefault="005C4A4D" w:rsidP="005C4A4D">
            <w:pPr>
              <w:rPr>
                <w:rFonts w:ascii="Arial" w:hAnsi="Arial" w:cs="Arial"/>
                <w:sz w:val="24"/>
                <w:szCs w:val="24"/>
              </w:rPr>
            </w:pPr>
            <w:r>
              <w:rPr>
                <w:rFonts w:ascii="Arial" w:hAnsi="Arial" w:cs="Arial"/>
                <w:sz w:val="24"/>
                <w:szCs w:val="24"/>
              </w:rPr>
              <w:t>2.2.13 – Specialized Government Functions</w:t>
            </w:r>
          </w:p>
        </w:tc>
        <w:tc>
          <w:tcPr>
            <w:tcW w:w="6863" w:type="dxa"/>
          </w:tcPr>
          <w:p w14:paraId="10DF89EC" w14:textId="2B10EA5F"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health information for specialized government functions.</w:t>
            </w:r>
          </w:p>
        </w:tc>
        <w:tc>
          <w:tcPr>
            <w:tcW w:w="1620" w:type="dxa"/>
          </w:tcPr>
          <w:p w14:paraId="6ABAE0B3" w14:textId="77777777" w:rsidR="005C4A4D" w:rsidRPr="006D2945" w:rsidRDefault="005C4A4D" w:rsidP="005C4A4D">
            <w:pPr>
              <w:rPr>
                <w:rFonts w:ascii="Arial" w:hAnsi="Arial" w:cs="Arial"/>
                <w:sz w:val="24"/>
                <w:szCs w:val="24"/>
              </w:rPr>
            </w:pPr>
          </w:p>
        </w:tc>
      </w:tr>
      <w:tr w:rsidR="005C4A4D" w:rsidRPr="006D2945" w14:paraId="7416D5E0" w14:textId="77777777" w:rsidTr="00CB196F">
        <w:tc>
          <w:tcPr>
            <w:tcW w:w="2093" w:type="dxa"/>
          </w:tcPr>
          <w:p w14:paraId="4EF6D51E" w14:textId="032688E4"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6E5AC054" w14:textId="69E65D0D" w:rsidR="005C4A4D" w:rsidRPr="006D2945" w:rsidRDefault="005C4A4D" w:rsidP="005C4A4D">
            <w:pPr>
              <w:rPr>
                <w:rFonts w:ascii="Arial" w:hAnsi="Arial" w:cs="Arial"/>
                <w:sz w:val="24"/>
                <w:szCs w:val="24"/>
              </w:rPr>
            </w:pPr>
            <w:r>
              <w:rPr>
                <w:rFonts w:ascii="Arial" w:hAnsi="Arial" w:cs="Arial"/>
                <w:sz w:val="24"/>
                <w:szCs w:val="24"/>
              </w:rPr>
              <w:t xml:space="preserve">2.2.14 – Treatment, Payment and Health Care Operations (TPO) </w:t>
            </w:r>
          </w:p>
        </w:tc>
        <w:tc>
          <w:tcPr>
            <w:tcW w:w="6863" w:type="dxa"/>
          </w:tcPr>
          <w:p w14:paraId="2A914DF4" w14:textId="737701A2" w:rsidR="005C4A4D" w:rsidRPr="006F2DC6" w:rsidRDefault="005C4A4D" w:rsidP="005C4A4D">
            <w:pPr>
              <w:rPr>
                <w:rFonts w:cs="Arial"/>
                <w:color w:val="0000FF" w:themeColor="hyperlink"/>
                <w:u w:val="single"/>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health information for TPO.</w:t>
            </w:r>
          </w:p>
        </w:tc>
        <w:tc>
          <w:tcPr>
            <w:tcW w:w="1620" w:type="dxa"/>
          </w:tcPr>
          <w:p w14:paraId="236851CC" w14:textId="77777777" w:rsidR="005C4A4D" w:rsidRPr="006D2945" w:rsidRDefault="005C4A4D" w:rsidP="005C4A4D">
            <w:pPr>
              <w:rPr>
                <w:rFonts w:ascii="Arial" w:hAnsi="Arial" w:cs="Arial"/>
                <w:sz w:val="24"/>
                <w:szCs w:val="24"/>
              </w:rPr>
            </w:pPr>
          </w:p>
        </w:tc>
      </w:tr>
      <w:tr w:rsidR="005C4A4D" w:rsidRPr="006D2945" w14:paraId="1AEC8A5B" w14:textId="77777777" w:rsidTr="00CB196F">
        <w:tc>
          <w:tcPr>
            <w:tcW w:w="2093" w:type="dxa"/>
          </w:tcPr>
          <w:p w14:paraId="3C0590B5" w14:textId="785E57E9"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3C8D4925"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2.2.15 - Underwriting </w:t>
            </w:r>
          </w:p>
        </w:tc>
        <w:tc>
          <w:tcPr>
            <w:tcW w:w="6863" w:type="dxa"/>
          </w:tcPr>
          <w:p w14:paraId="133BDEAB" w14:textId="20909831" w:rsidR="005C4A4D" w:rsidRPr="006D2945" w:rsidRDefault="005C4A4D" w:rsidP="005C4A4D">
            <w:pPr>
              <w:rPr>
                <w:rFonts w:ascii="Arial" w:hAnsi="Arial" w:cs="Arial"/>
                <w:sz w:val="24"/>
                <w:szCs w:val="24"/>
              </w:rPr>
            </w:pPr>
            <w:r w:rsidRPr="006D2945">
              <w:rPr>
                <w:rFonts w:ascii="Arial" w:hAnsi="Arial" w:cs="Arial"/>
                <w:sz w:val="24"/>
                <w:szCs w:val="24"/>
              </w:rPr>
              <w:t xml:space="preserve">III. State entities that are business associates, health care clearinghouses, health care plans, health care providers, or hybrid entities must implement policies and procedures to limit the health information disclosed to the amount reasonably necessary to achieve the purpose for the disclosure. </w:t>
            </w:r>
          </w:p>
        </w:tc>
        <w:tc>
          <w:tcPr>
            <w:tcW w:w="1620" w:type="dxa"/>
          </w:tcPr>
          <w:p w14:paraId="7ADA11DF" w14:textId="77777777" w:rsidR="005C4A4D" w:rsidRPr="006D2945" w:rsidRDefault="005C4A4D" w:rsidP="005C4A4D">
            <w:pPr>
              <w:rPr>
                <w:rFonts w:ascii="Arial" w:hAnsi="Arial" w:cs="Arial"/>
                <w:sz w:val="24"/>
                <w:szCs w:val="24"/>
              </w:rPr>
            </w:pPr>
          </w:p>
        </w:tc>
      </w:tr>
      <w:tr w:rsidR="005C4A4D" w:rsidRPr="006D2945" w14:paraId="798A114B" w14:textId="77777777" w:rsidTr="00CB196F">
        <w:tc>
          <w:tcPr>
            <w:tcW w:w="2093" w:type="dxa"/>
          </w:tcPr>
          <w:p w14:paraId="3BC22227" w14:textId="565F719E" w:rsidR="005C4A4D" w:rsidRPr="006D2945" w:rsidRDefault="005C4A4D" w:rsidP="005C4A4D">
            <w:pPr>
              <w:rPr>
                <w:rFonts w:ascii="Arial" w:hAnsi="Arial" w:cs="Arial"/>
                <w:sz w:val="24"/>
                <w:szCs w:val="24"/>
              </w:rPr>
            </w:pPr>
            <w:r w:rsidRPr="002B28C4">
              <w:rPr>
                <w:rFonts w:ascii="Arial" w:hAnsi="Arial" w:cs="Arial"/>
                <w:sz w:val="24"/>
                <w:szCs w:val="24"/>
              </w:rPr>
              <w:t>2.2.0 – Uses and Disclosures</w:t>
            </w:r>
          </w:p>
        </w:tc>
        <w:tc>
          <w:tcPr>
            <w:tcW w:w="2317" w:type="dxa"/>
          </w:tcPr>
          <w:p w14:paraId="21A4F7EE" w14:textId="710858DE" w:rsidR="005C4A4D" w:rsidRPr="006D2945" w:rsidRDefault="005C4A4D" w:rsidP="005C4A4D">
            <w:pPr>
              <w:rPr>
                <w:rFonts w:ascii="Arial" w:hAnsi="Arial" w:cs="Arial"/>
                <w:sz w:val="24"/>
                <w:szCs w:val="24"/>
              </w:rPr>
            </w:pPr>
            <w:r>
              <w:rPr>
                <w:rFonts w:ascii="Arial" w:hAnsi="Arial" w:cs="Arial"/>
                <w:sz w:val="24"/>
                <w:szCs w:val="24"/>
              </w:rPr>
              <w:t>2.2.16 – Victims of Abuse, Neglect, or Domestic Violence</w:t>
            </w:r>
          </w:p>
        </w:tc>
        <w:tc>
          <w:tcPr>
            <w:tcW w:w="6863" w:type="dxa"/>
          </w:tcPr>
          <w:p w14:paraId="50C81D0F" w14:textId="52831EF4" w:rsidR="005C4A4D" w:rsidRPr="00EB2BC3" w:rsidRDefault="005C4A4D" w:rsidP="005C4A4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w:t>
            </w:r>
            <w:r w:rsidRPr="006F2DC6">
              <w:rPr>
                <w:rFonts w:ascii="Arial" w:hAnsi="Arial"/>
                <w:sz w:val="24"/>
              </w:rPr>
              <w:lastRenderedPageBreak/>
              <w:t>how) utilized to use or disclose health information related to victims of abuse, neglect, or domestic violence.</w:t>
            </w:r>
          </w:p>
        </w:tc>
        <w:tc>
          <w:tcPr>
            <w:tcW w:w="1620" w:type="dxa"/>
          </w:tcPr>
          <w:p w14:paraId="280F99C0" w14:textId="77777777" w:rsidR="005C4A4D" w:rsidRPr="006D2945" w:rsidRDefault="005C4A4D" w:rsidP="005C4A4D">
            <w:pPr>
              <w:rPr>
                <w:rFonts w:ascii="Arial" w:hAnsi="Arial" w:cs="Arial"/>
                <w:sz w:val="24"/>
                <w:szCs w:val="24"/>
              </w:rPr>
            </w:pPr>
          </w:p>
        </w:tc>
      </w:tr>
      <w:tr w:rsidR="00713A63" w:rsidRPr="006D2945" w14:paraId="2CDC150C" w14:textId="77777777" w:rsidTr="006F2DC6">
        <w:trPr>
          <w:cantSplit/>
        </w:trPr>
        <w:tc>
          <w:tcPr>
            <w:tcW w:w="2093" w:type="dxa"/>
          </w:tcPr>
          <w:p w14:paraId="682F7371" w14:textId="518B0891" w:rsidR="00713A63" w:rsidRPr="006D2945" w:rsidRDefault="005C4A4D">
            <w:pPr>
              <w:rPr>
                <w:rFonts w:ascii="Arial" w:hAnsi="Arial" w:cs="Arial"/>
                <w:sz w:val="24"/>
                <w:szCs w:val="24"/>
              </w:rPr>
            </w:pPr>
            <w:r>
              <w:rPr>
                <w:rFonts w:ascii="Arial" w:hAnsi="Arial" w:cs="Arial"/>
                <w:sz w:val="24"/>
                <w:szCs w:val="24"/>
              </w:rPr>
              <w:t>2.2.0 – Uses and Disclosures</w:t>
            </w:r>
          </w:p>
        </w:tc>
        <w:tc>
          <w:tcPr>
            <w:tcW w:w="2317" w:type="dxa"/>
          </w:tcPr>
          <w:p w14:paraId="7F6CB726" w14:textId="2444C585" w:rsidR="00713A63" w:rsidRPr="006D2945" w:rsidRDefault="00713A63" w:rsidP="00414ADD">
            <w:pPr>
              <w:rPr>
                <w:rFonts w:ascii="Arial" w:hAnsi="Arial" w:cs="Arial"/>
                <w:sz w:val="24"/>
                <w:szCs w:val="24"/>
              </w:rPr>
            </w:pPr>
            <w:r>
              <w:rPr>
                <w:rFonts w:ascii="Arial" w:hAnsi="Arial" w:cs="Arial"/>
                <w:sz w:val="24"/>
                <w:szCs w:val="24"/>
              </w:rPr>
              <w:t>2.2.17 – Health Information Exchange (HIE)</w:t>
            </w:r>
          </w:p>
        </w:tc>
        <w:tc>
          <w:tcPr>
            <w:tcW w:w="6863" w:type="dxa"/>
          </w:tcPr>
          <w:p w14:paraId="08BB2BBD" w14:textId="301BB9CE" w:rsidR="00713A63" w:rsidRPr="00EB2BC3" w:rsidRDefault="00EB2BC3" w:rsidP="00414ADD">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health information for HIE purposes.</w:t>
            </w:r>
          </w:p>
        </w:tc>
        <w:tc>
          <w:tcPr>
            <w:tcW w:w="1620" w:type="dxa"/>
          </w:tcPr>
          <w:p w14:paraId="0F8999C0" w14:textId="77777777" w:rsidR="00713A63" w:rsidRPr="006D2945" w:rsidRDefault="00713A63">
            <w:pPr>
              <w:rPr>
                <w:rFonts w:ascii="Arial" w:hAnsi="Arial" w:cs="Arial"/>
                <w:sz w:val="24"/>
                <w:szCs w:val="24"/>
              </w:rPr>
            </w:pPr>
          </w:p>
        </w:tc>
      </w:tr>
      <w:tr w:rsidR="00713A63" w:rsidRPr="006D2945" w14:paraId="71B8DF86" w14:textId="77777777" w:rsidTr="00CB196F">
        <w:tc>
          <w:tcPr>
            <w:tcW w:w="2093" w:type="dxa"/>
          </w:tcPr>
          <w:p w14:paraId="3C5E2D5B" w14:textId="51301DF4" w:rsidR="00713A63" w:rsidRDefault="00713A63" w:rsidP="00EA63B7">
            <w:pPr>
              <w:rPr>
                <w:rFonts w:ascii="Arial" w:hAnsi="Arial" w:cs="Arial"/>
                <w:sz w:val="24"/>
                <w:szCs w:val="24"/>
              </w:rPr>
            </w:pPr>
            <w:r>
              <w:rPr>
                <w:rFonts w:ascii="Arial" w:hAnsi="Arial" w:cs="Arial"/>
                <w:sz w:val="24"/>
                <w:szCs w:val="24"/>
              </w:rPr>
              <w:t>2.3.0 – Specially Protected Information</w:t>
            </w:r>
          </w:p>
        </w:tc>
        <w:tc>
          <w:tcPr>
            <w:tcW w:w="2317" w:type="dxa"/>
          </w:tcPr>
          <w:p w14:paraId="03FEC68B" w14:textId="4FC2A785" w:rsidR="00713A63" w:rsidRPr="006D2945" w:rsidRDefault="00713A63" w:rsidP="00414ADD">
            <w:pPr>
              <w:rPr>
                <w:rFonts w:ascii="Arial" w:hAnsi="Arial" w:cs="Arial"/>
                <w:sz w:val="24"/>
                <w:szCs w:val="24"/>
              </w:rPr>
            </w:pPr>
            <w:r>
              <w:rPr>
                <w:rFonts w:ascii="Arial" w:hAnsi="Arial" w:cs="Arial"/>
                <w:sz w:val="24"/>
                <w:szCs w:val="24"/>
              </w:rPr>
              <w:t>2.3.1 – Genetic Information</w:t>
            </w:r>
          </w:p>
        </w:tc>
        <w:tc>
          <w:tcPr>
            <w:tcW w:w="6863" w:type="dxa"/>
          </w:tcPr>
          <w:p w14:paraId="601364BD" w14:textId="6353F453" w:rsidR="00713A63" w:rsidRPr="00116B67" w:rsidRDefault="00116B67" w:rsidP="00116B67">
            <w:pPr>
              <w:rPr>
                <w:rFonts w:ascii="Arial" w:hAnsi="Arial"/>
                <w:sz w:val="24"/>
              </w:rPr>
            </w:pPr>
            <w:r>
              <w:rPr>
                <w:rFonts w:ascii="Arial" w:hAnsi="Arial"/>
                <w:sz w:val="24"/>
              </w:rPr>
              <w:t xml:space="preserve">III. </w:t>
            </w:r>
            <w:r w:rsidR="00EB2BC3" w:rsidRPr="006F2DC6">
              <w:rPr>
                <w:rFonts w:ascii="Arial" w:hAnsi="Arial"/>
                <w:sz w:val="24"/>
              </w:rPr>
              <w:t xml:space="preserve">While not specifically required by law, </w:t>
            </w:r>
            <w:r w:rsidR="000A095F">
              <w:rPr>
                <w:rFonts w:ascii="Arial" w:hAnsi="Arial"/>
                <w:sz w:val="24"/>
              </w:rPr>
              <w:t>CDII</w:t>
            </w:r>
            <w:r w:rsidR="00EB2BC3" w:rsidRPr="006F2DC6">
              <w:rPr>
                <w:rFonts w:ascii="Arial" w:hAnsi="Arial"/>
                <w:sz w:val="24"/>
              </w:rPr>
              <w:t xml:space="preserve"> requires state entities to develop, implement and maintain policies and procedures describing the measures and processes (what and how) utilized to use or disclose genetic health information.</w:t>
            </w:r>
          </w:p>
        </w:tc>
        <w:tc>
          <w:tcPr>
            <w:tcW w:w="1620" w:type="dxa"/>
          </w:tcPr>
          <w:p w14:paraId="630C80DF" w14:textId="77777777" w:rsidR="00713A63" w:rsidRPr="006D2945" w:rsidRDefault="00713A63">
            <w:pPr>
              <w:rPr>
                <w:rFonts w:ascii="Arial" w:hAnsi="Arial" w:cs="Arial"/>
                <w:sz w:val="24"/>
                <w:szCs w:val="24"/>
              </w:rPr>
            </w:pPr>
          </w:p>
        </w:tc>
      </w:tr>
      <w:tr w:rsidR="005C4A4D" w:rsidRPr="006D2945" w14:paraId="7B19F18F" w14:textId="77777777" w:rsidTr="00CB196F">
        <w:tc>
          <w:tcPr>
            <w:tcW w:w="2093" w:type="dxa"/>
          </w:tcPr>
          <w:p w14:paraId="1693DF43" w14:textId="5C4C5610" w:rsidR="005C4A4D" w:rsidRPr="006D2945"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41E8DB31"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2.3.2 – HIV/AIDS Information </w:t>
            </w:r>
          </w:p>
        </w:tc>
        <w:tc>
          <w:tcPr>
            <w:tcW w:w="6863" w:type="dxa"/>
          </w:tcPr>
          <w:p w14:paraId="378D8F0F" w14:textId="570E9166" w:rsidR="005C4A4D" w:rsidRPr="00116B67" w:rsidRDefault="005C4A4D" w:rsidP="005C4A4D">
            <w:pPr>
              <w:rPr>
                <w:rFonts w:ascii="Arial" w:hAnsi="Arial"/>
                <w:sz w:val="24"/>
              </w:rPr>
            </w:pPr>
            <w:r w:rsidRPr="00116B67">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HIV/AIDS information</w:t>
            </w:r>
            <w:r w:rsidR="005F5AF8">
              <w:rPr>
                <w:rFonts w:ascii="Arial" w:hAnsi="Arial"/>
                <w:sz w:val="24"/>
              </w:rPr>
              <w:t xml:space="preserve"> and test results</w:t>
            </w:r>
            <w:r w:rsidRPr="006F2DC6">
              <w:rPr>
                <w:rFonts w:ascii="Arial" w:hAnsi="Arial"/>
                <w:sz w:val="24"/>
              </w:rPr>
              <w:t>.</w:t>
            </w:r>
          </w:p>
        </w:tc>
        <w:tc>
          <w:tcPr>
            <w:tcW w:w="1620" w:type="dxa"/>
          </w:tcPr>
          <w:p w14:paraId="4CB5F236" w14:textId="77777777" w:rsidR="005C4A4D" w:rsidRPr="006D2945" w:rsidRDefault="005C4A4D" w:rsidP="005C4A4D">
            <w:pPr>
              <w:rPr>
                <w:rFonts w:ascii="Arial" w:hAnsi="Arial" w:cs="Arial"/>
                <w:sz w:val="24"/>
                <w:szCs w:val="24"/>
              </w:rPr>
            </w:pPr>
          </w:p>
        </w:tc>
      </w:tr>
      <w:tr w:rsidR="005C4A4D" w:rsidRPr="006D2945" w14:paraId="52305E19" w14:textId="77777777" w:rsidTr="00CB196F">
        <w:tc>
          <w:tcPr>
            <w:tcW w:w="2093" w:type="dxa"/>
          </w:tcPr>
          <w:p w14:paraId="6D5750F5" w14:textId="778E83CB" w:rsidR="005C4A4D"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49C9CBDA" w14:textId="64762774" w:rsidR="005C4A4D" w:rsidRDefault="005C4A4D" w:rsidP="005C4A4D">
            <w:pPr>
              <w:rPr>
                <w:rFonts w:ascii="Arial" w:hAnsi="Arial" w:cs="Arial"/>
                <w:sz w:val="24"/>
                <w:szCs w:val="24"/>
              </w:rPr>
            </w:pPr>
            <w:r>
              <w:rPr>
                <w:rFonts w:ascii="Arial" w:hAnsi="Arial" w:cs="Arial"/>
                <w:sz w:val="24"/>
                <w:szCs w:val="24"/>
              </w:rPr>
              <w:t>2.3.3 – Mental Health Records</w:t>
            </w:r>
          </w:p>
        </w:tc>
        <w:tc>
          <w:tcPr>
            <w:tcW w:w="6863" w:type="dxa"/>
          </w:tcPr>
          <w:p w14:paraId="5D9E45FB" w14:textId="1C0C4AC4" w:rsidR="005C4A4D" w:rsidRPr="006F2DC6" w:rsidRDefault="005C4A4D" w:rsidP="005C4A4D">
            <w:pPr>
              <w:rPr>
                <w:rFonts w:cs="Arial"/>
                <w:color w:val="0000FF" w:themeColor="hyperlink"/>
                <w:u w:val="single"/>
              </w:rPr>
            </w:pPr>
            <w:r>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mental health information.</w:t>
            </w:r>
          </w:p>
        </w:tc>
        <w:tc>
          <w:tcPr>
            <w:tcW w:w="1620" w:type="dxa"/>
          </w:tcPr>
          <w:p w14:paraId="1BEF9B95" w14:textId="77777777" w:rsidR="005C4A4D" w:rsidRPr="006D2945" w:rsidRDefault="005C4A4D" w:rsidP="005C4A4D">
            <w:pPr>
              <w:rPr>
                <w:rFonts w:ascii="Arial" w:hAnsi="Arial" w:cs="Arial"/>
                <w:sz w:val="24"/>
                <w:szCs w:val="24"/>
              </w:rPr>
            </w:pPr>
          </w:p>
        </w:tc>
      </w:tr>
      <w:tr w:rsidR="005C4A4D" w:rsidRPr="006D2945" w14:paraId="4EFBCB9B" w14:textId="77777777" w:rsidTr="00CB196F">
        <w:tc>
          <w:tcPr>
            <w:tcW w:w="2093" w:type="dxa"/>
          </w:tcPr>
          <w:p w14:paraId="2D54E307" w14:textId="3162F6BC" w:rsidR="005C4A4D"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2C96428F" w14:textId="77777777" w:rsidR="005C4A4D" w:rsidRPr="006D2945" w:rsidRDefault="005C4A4D" w:rsidP="005C4A4D">
            <w:pPr>
              <w:rPr>
                <w:rFonts w:ascii="Arial" w:hAnsi="Arial" w:cs="Arial"/>
                <w:sz w:val="24"/>
                <w:szCs w:val="24"/>
              </w:rPr>
            </w:pPr>
            <w:r>
              <w:rPr>
                <w:rFonts w:ascii="Arial" w:hAnsi="Arial" w:cs="Arial"/>
                <w:sz w:val="24"/>
                <w:szCs w:val="24"/>
              </w:rPr>
              <w:t>2.3.4 – Substance Use Disorder Treatment</w:t>
            </w:r>
          </w:p>
        </w:tc>
        <w:tc>
          <w:tcPr>
            <w:tcW w:w="6863" w:type="dxa"/>
          </w:tcPr>
          <w:p w14:paraId="3A7B23F6" w14:textId="15F6E5D0" w:rsidR="005C4A4D" w:rsidRPr="006D2945" w:rsidRDefault="005C4A4D" w:rsidP="005C4A4D">
            <w:pPr>
              <w:rPr>
                <w:rFonts w:ascii="Arial" w:hAnsi="Arial" w:cs="Arial"/>
                <w:sz w:val="24"/>
                <w:szCs w:val="24"/>
              </w:rPr>
            </w:pPr>
            <w:r>
              <w:rPr>
                <w:rFonts w:ascii="Arial" w:hAnsi="Arial" w:cs="Arial"/>
                <w:sz w:val="24"/>
                <w:szCs w:val="24"/>
              </w:rPr>
              <w:t>III.A. State entities must have in place formal policies and procedures to reasonably protect against unauthorized use and disclosure of patient identifying information and to protect against reasonably anticipated threats or hazards to the security of patient identifying information.</w:t>
            </w:r>
          </w:p>
        </w:tc>
        <w:tc>
          <w:tcPr>
            <w:tcW w:w="1620" w:type="dxa"/>
          </w:tcPr>
          <w:p w14:paraId="211F75ED" w14:textId="77777777" w:rsidR="005C4A4D" w:rsidRPr="006D2945" w:rsidRDefault="005C4A4D" w:rsidP="005C4A4D">
            <w:pPr>
              <w:rPr>
                <w:rFonts w:ascii="Arial" w:hAnsi="Arial" w:cs="Arial"/>
                <w:sz w:val="24"/>
                <w:szCs w:val="24"/>
              </w:rPr>
            </w:pPr>
          </w:p>
        </w:tc>
      </w:tr>
      <w:tr w:rsidR="005C4A4D" w:rsidRPr="006D2945" w14:paraId="085001D6" w14:textId="77777777" w:rsidTr="00CB196F">
        <w:tc>
          <w:tcPr>
            <w:tcW w:w="2093" w:type="dxa"/>
          </w:tcPr>
          <w:p w14:paraId="6120C4FA" w14:textId="3CA06B08" w:rsidR="005C4A4D" w:rsidRDefault="005C4A4D" w:rsidP="005C4A4D">
            <w:pPr>
              <w:rPr>
                <w:rFonts w:ascii="Arial" w:hAnsi="Arial" w:cs="Arial"/>
                <w:sz w:val="24"/>
                <w:szCs w:val="24"/>
              </w:rPr>
            </w:pPr>
            <w:r w:rsidRPr="000B5C2C">
              <w:rPr>
                <w:rFonts w:ascii="Arial" w:hAnsi="Arial" w:cs="Arial"/>
                <w:sz w:val="24"/>
                <w:szCs w:val="24"/>
              </w:rPr>
              <w:t>2.3.0 – Specially Protected Information</w:t>
            </w:r>
          </w:p>
        </w:tc>
        <w:tc>
          <w:tcPr>
            <w:tcW w:w="2317" w:type="dxa"/>
          </w:tcPr>
          <w:p w14:paraId="4131930C" w14:textId="1CFE52FA" w:rsidR="005C4A4D" w:rsidRDefault="005C4A4D" w:rsidP="005C4A4D">
            <w:pPr>
              <w:rPr>
                <w:rFonts w:ascii="Arial" w:hAnsi="Arial" w:cs="Arial"/>
                <w:sz w:val="24"/>
                <w:szCs w:val="24"/>
              </w:rPr>
            </w:pPr>
            <w:r>
              <w:rPr>
                <w:rFonts w:ascii="Arial" w:hAnsi="Arial" w:cs="Arial"/>
                <w:sz w:val="24"/>
                <w:szCs w:val="24"/>
              </w:rPr>
              <w:t>2.3.5 – Developmental Services Records</w:t>
            </w:r>
          </w:p>
        </w:tc>
        <w:tc>
          <w:tcPr>
            <w:tcW w:w="6863" w:type="dxa"/>
          </w:tcPr>
          <w:p w14:paraId="25E3003D" w14:textId="2815E06E" w:rsidR="005C4A4D" w:rsidRPr="00116B67" w:rsidRDefault="005C4A4D" w:rsidP="005C4A4D">
            <w:pPr>
              <w:rPr>
                <w:rFonts w:ascii="Arial" w:hAnsi="Arial"/>
                <w:sz w:val="24"/>
              </w:rPr>
            </w:pPr>
            <w:r>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use or disclose developmental service records.</w:t>
            </w:r>
          </w:p>
        </w:tc>
        <w:tc>
          <w:tcPr>
            <w:tcW w:w="1620" w:type="dxa"/>
          </w:tcPr>
          <w:p w14:paraId="108CE593" w14:textId="77777777" w:rsidR="005C4A4D" w:rsidRPr="006D2945" w:rsidRDefault="005C4A4D" w:rsidP="005C4A4D">
            <w:pPr>
              <w:rPr>
                <w:rFonts w:ascii="Arial" w:hAnsi="Arial" w:cs="Arial"/>
                <w:sz w:val="24"/>
                <w:szCs w:val="24"/>
              </w:rPr>
            </w:pPr>
          </w:p>
        </w:tc>
      </w:tr>
      <w:tr w:rsidR="005C4A4D" w:rsidRPr="006D2945" w14:paraId="6DA0C2A1" w14:textId="77777777" w:rsidTr="003D4BF2">
        <w:trPr>
          <w:cantSplit/>
        </w:trPr>
        <w:tc>
          <w:tcPr>
            <w:tcW w:w="2093" w:type="dxa"/>
          </w:tcPr>
          <w:p w14:paraId="756C2C82" w14:textId="7136D87C" w:rsidR="005C4A4D" w:rsidRDefault="005C4A4D" w:rsidP="005C4A4D">
            <w:pPr>
              <w:rPr>
                <w:rFonts w:ascii="Arial" w:hAnsi="Arial" w:cs="Arial"/>
                <w:sz w:val="24"/>
                <w:szCs w:val="24"/>
              </w:rPr>
            </w:pPr>
            <w:r w:rsidRPr="000B5C2C">
              <w:rPr>
                <w:rFonts w:ascii="Arial" w:hAnsi="Arial" w:cs="Arial"/>
                <w:sz w:val="24"/>
                <w:szCs w:val="24"/>
              </w:rPr>
              <w:lastRenderedPageBreak/>
              <w:t>2.3.0 – Specially Protected Information</w:t>
            </w:r>
          </w:p>
        </w:tc>
        <w:tc>
          <w:tcPr>
            <w:tcW w:w="2317" w:type="dxa"/>
          </w:tcPr>
          <w:p w14:paraId="51F47BB4" w14:textId="624D1737" w:rsidR="005C4A4D" w:rsidRDefault="005C4A4D" w:rsidP="005C4A4D">
            <w:pPr>
              <w:rPr>
                <w:rFonts w:ascii="Arial" w:hAnsi="Arial" w:cs="Arial"/>
                <w:sz w:val="24"/>
                <w:szCs w:val="24"/>
              </w:rPr>
            </w:pPr>
            <w:r>
              <w:rPr>
                <w:rFonts w:ascii="Arial" w:hAnsi="Arial" w:cs="Arial"/>
                <w:sz w:val="24"/>
                <w:szCs w:val="24"/>
              </w:rPr>
              <w:t>2.3.6 – Psychotherapy Notes</w:t>
            </w:r>
          </w:p>
        </w:tc>
        <w:tc>
          <w:tcPr>
            <w:tcW w:w="6863" w:type="dxa"/>
          </w:tcPr>
          <w:p w14:paraId="2B3A7857" w14:textId="001195BB" w:rsidR="005C4A4D" w:rsidRPr="005F5AF8" w:rsidRDefault="005C4A4D" w:rsidP="005C4A4D">
            <w:pPr>
              <w:rPr>
                <w:rFonts w:ascii="Arial" w:hAnsi="Arial" w:cs="Arial"/>
                <w:sz w:val="24"/>
                <w:szCs w:val="24"/>
              </w:rPr>
            </w:pPr>
            <w:r w:rsidRPr="005F5AF8">
              <w:rPr>
                <w:rFonts w:ascii="Arial" w:hAnsi="Arial" w:cs="Arial"/>
                <w:sz w:val="24"/>
                <w:szCs w:val="24"/>
              </w:rPr>
              <w:t xml:space="preserve">III. </w:t>
            </w:r>
            <w:r w:rsidR="005F5AF8" w:rsidRPr="005F5AF8">
              <w:rPr>
                <w:rFonts w:ascii="Arial" w:hAnsi="Arial" w:cs="Arial"/>
                <w:sz w:val="24"/>
                <w:szCs w:val="24"/>
              </w:rPr>
              <w:t xml:space="preserve">While not specifically required by law, </w:t>
            </w:r>
            <w:r w:rsidR="000A095F">
              <w:rPr>
                <w:rFonts w:ascii="Arial" w:hAnsi="Arial" w:cs="Arial"/>
                <w:sz w:val="24"/>
                <w:szCs w:val="24"/>
              </w:rPr>
              <w:t>CDII</w:t>
            </w:r>
            <w:r w:rsidR="005F5AF8" w:rsidRPr="005F5AF8">
              <w:rPr>
                <w:rFonts w:ascii="Arial" w:hAnsi="Arial" w:cs="Arial"/>
                <w:sz w:val="24"/>
                <w:szCs w:val="24"/>
              </w:rPr>
              <w:t xml:space="preserve"> requires state entities to develop, implement and maintain policies and procedures describing the measures and processes (what and how) utilized to use or disclose psychotherapy notes.</w:t>
            </w:r>
          </w:p>
        </w:tc>
        <w:tc>
          <w:tcPr>
            <w:tcW w:w="1620" w:type="dxa"/>
          </w:tcPr>
          <w:p w14:paraId="7D27742C" w14:textId="77777777" w:rsidR="005C4A4D" w:rsidRPr="006D2945" w:rsidRDefault="005C4A4D" w:rsidP="005C4A4D">
            <w:pPr>
              <w:rPr>
                <w:rFonts w:ascii="Arial" w:hAnsi="Arial" w:cs="Arial"/>
                <w:sz w:val="24"/>
                <w:szCs w:val="24"/>
              </w:rPr>
            </w:pPr>
          </w:p>
        </w:tc>
      </w:tr>
      <w:tr w:rsidR="00A83766" w:rsidRPr="006D2945" w14:paraId="74522B54" w14:textId="77777777" w:rsidTr="00CB196F">
        <w:tc>
          <w:tcPr>
            <w:tcW w:w="2093" w:type="dxa"/>
          </w:tcPr>
          <w:p w14:paraId="2CBED03A" w14:textId="77777777" w:rsidR="00A83766" w:rsidRPr="006D2945" w:rsidRDefault="00FA05DA">
            <w:pPr>
              <w:rPr>
                <w:rFonts w:ascii="Arial" w:hAnsi="Arial" w:cs="Arial"/>
                <w:sz w:val="24"/>
                <w:szCs w:val="24"/>
              </w:rPr>
            </w:pPr>
            <w:r>
              <w:rPr>
                <w:rFonts w:ascii="Arial" w:hAnsi="Arial" w:cs="Arial"/>
                <w:sz w:val="24"/>
                <w:szCs w:val="24"/>
              </w:rPr>
              <w:t>2.4.0 Breach and Breach Notification</w:t>
            </w:r>
          </w:p>
        </w:tc>
        <w:tc>
          <w:tcPr>
            <w:tcW w:w="2317" w:type="dxa"/>
          </w:tcPr>
          <w:p w14:paraId="2F470F86" w14:textId="77777777" w:rsidR="00A83766" w:rsidRPr="006D2945" w:rsidRDefault="00A83766" w:rsidP="00C41863">
            <w:pPr>
              <w:rPr>
                <w:rFonts w:ascii="Arial" w:hAnsi="Arial" w:cs="Arial"/>
                <w:sz w:val="24"/>
                <w:szCs w:val="24"/>
              </w:rPr>
            </w:pPr>
            <w:r w:rsidRPr="006D2945">
              <w:rPr>
                <w:rFonts w:ascii="Arial" w:hAnsi="Arial" w:cs="Arial"/>
                <w:sz w:val="24"/>
                <w:szCs w:val="24"/>
              </w:rPr>
              <w:t xml:space="preserve">2.4.1 – Breach and Breach Notification </w:t>
            </w:r>
          </w:p>
        </w:tc>
        <w:tc>
          <w:tcPr>
            <w:tcW w:w="6863" w:type="dxa"/>
          </w:tcPr>
          <w:p w14:paraId="542B41F9" w14:textId="1CF8B43B" w:rsidR="00A83766" w:rsidRPr="006D2945" w:rsidRDefault="00A83766" w:rsidP="00116B67">
            <w:pPr>
              <w:rPr>
                <w:rFonts w:ascii="Arial" w:hAnsi="Arial" w:cs="Arial"/>
                <w:sz w:val="24"/>
                <w:szCs w:val="24"/>
              </w:rPr>
            </w:pPr>
            <w:r w:rsidRPr="006D2945">
              <w:rPr>
                <w:rFonts w:ascii="Arial" w:hAnsi="Arial" w:cs="Arial"/>
                <w:sz w:val="24"/>
                <w:szCs w:val="24"/>
              </w:rPr>
              <w:t xml:space="preserve">III. </w:t>
            </w:r>
            <w:r w:rsidR="00116B67">
              <w:rPr>
                <w:rFonts w:ascii="Arial" w:hAnsi="Arial" w:cs="Arial"/>
                <w:sz w:val="24"/>
                <w:szCs w:val="24"/>
              </w:rPr>
              <w:t>A</w:t>
            </w:r>
            <w:r w:rsidRPr="006D2945">
              <w:rPr>
                <w:rFonts w:ascii="Arial" w:hAnsi="Arial" w:cs="Arial"/>
                <w:sz w:val="24"/>
                <w:szCs w:val="24"/>
              </w:rPr>
              <w:t xml:space="preserve">. </w:t>
            </w:r>
            <w:r w:rsidR="005F5AF8" w:rsidRPr="005F5AF8">
              <w:rPr>
                <w:rFonts w:ascii="Arial" w:hAnsi="Arial" w:cs="Arial"/>
                <w:sz w:val="24"/>
                <w:szCs w:val="24"/>
              </w:rPr>
              <w:t xml:space="preserve">Policies and procedures must be developed, </w:t>
            </w:r>
            <w:r w:rsidR="005F5AF8" w:rsidRPr="005F5AF8">
              <w:rPr>
                <w:rFonts w:ascii="Arial" w:hAnsi="Arial"/>
                <w:sz w:val="24"/>
                <w:szCs w:val="24"/>
              </w:rPr>
              <w:t>implemented</w:t>
            </w:r>
            <w:r w:rsidR="005F5AF8" w:rsidRPr="005F5AF8">
              <w:rPr>
                <w:rFonts w:ascii="Arial" w:hAnsi="Arial" w:cs="Arial"/>
                <w:sz w:val="24"/>
                <w:szCs w:val="24"/>
              </w:rPr>
              <w:t>, and maintained, to ensure compliance with legal requirements regarding identifying, investigating and reporting breaches or unauthorized disclosures of health information</w:t>
            </w:r>
          </w:p>
        </w:tc>
        <w:tc>
          <w:tcPr>
            <w:tcW w:w="1620" w:type="dxa"/>
          </w:tcPr>
          <w:p w14:paraId="1A8ED370" w14:textId="77777777" w:rsidR="00A83766" w:rsidRPr="006D2945" w:rsidRDefault="00A83766">
            <w:pPr>
              <w:rPr>
                <w:rFonts w:ascii="Arial" w:hAnsi="Arial" w:cs="Arial"/>
                <w:sz w:val="24"/>
                <w:szCs w:val="24"/>
              </w:rPr>
            </w:pPr>
          </w:p>
        </w:tc>
      </w:tr>
      <w:tr w:rsidR="00867CEF" w:rsidRPr="006D2945" w14:paraId="3DD1193E" w14:textId="77777777" w:rsidTr="00CB196F">
        <w:tc>
          <w:tcPr>
            <w:tcW w:w="2093" w:type="dxa"/>
          </w:tcPr>
          <w:p w14:paraId="132D804B" w14:textId="71FB7E8D" w:rsidR="00867CEF" w:rsidRPr="006D2945" w:rsidRDefault="00867CEF" w:rsidP="00C41863">
            <w:pPr>
              <w:rPr>
                <w:rFonts w:ascii="Arial" w:hAnsi="Arial" w:cs="Arial"/>
                <w:sz w:val="24"/>
                <w:szCs w:val="24"/>
              </w:rPr>
            </w:pPr>
            <w:r>
              <w:rPr>
                <w:rFonts w:ascii="Arial" w:hAnsi="Arial" w:cs="Arial"/>
                <w:sz w:val="24"/>
                <w:szCs w:val="24"/>
              </w:rPr>
              <w:t>2.5.0</w:t>
            </w:r>
            <w:r w:rsidR="00713A63">
              <w:rPr>
                <w:rFonts w:ascii="Arial" w:hAnsi="Arial" w:cs="Arial"/>
                <w:sz w:val="24"/>
                <w:szCs w:val="24"/>
              </w:rPr>
              <w:t xml:space="preserve"> – De-identification</w:t>
            </w:r>
          </w:p>
        </w:tc>
        <w:tc>
          <w:tcPr>
            <w:tcW w:w="2317" w:type="dxa"/>
          </w:tcPr>
          <w:p w14:paraId="539F7178" w14:textId="52267CD6" w:rsidR="00867CEF" w:rsidRPr="006D2945" w:rsidRDefault="00867CEF" w:rsidP="00C41863">
            <w:pPr>
              <w:rPr>
                <w:rFonts w:ascii="Arial" w:hAnsi="Arial" w:cs="Arial"/>
                <w:sz w:val="24"/>
                <w:szCs w:val="24"/>
              </w:rPr>
            </w:pPr>
            <w:r>
              <w:rPr>
                <w:rFonts w:ascii="Arial" w:hAnsi="Arial" w:cs="Arial"/>
                <w:sz w:val="24"/>
                <w:szCs w:val="24"/>
              </w:rPr>
              <w:t>2.5.1</w:t>
            </w:r>
            <w:r w:rsidR="00713A63">
              <w:rPr>
                <w:rFonts w:ascii="Arial" w:hAnsi="Arial" w:cs="Arial"/>
                <w:sz w:val="24"/>
                <w:szCs w:val="24"/>
              </w:rPr>
              <w:t xml:space="preserve"> – De-identification</w:t>
            </w:r>
          </w:p>
        </w:tc>
        <w:tc>
          <w:tcPr>
            <w:tcW w:w="6863" w:type="dxa"/>
          </w:tcPr>
          <w:p w14:paraId="26D0F996" w14:textId="70611B7F" w:rsidR="00867CEF" w:rsidRPr="005F5AF8" w:rsidRDefault="00116B67" w:rsidP="00C41863">
            <w:pPr>
              <w:rPr>
                <w:rFonts w:ascii="Arial" w:hAnsi="Arial" w:cs="Arial"/>
                <w:sz w:val="24"/>
                <w:szCs w:val="24"/>
              </w:rPr>
            </w:pPr>
            <w:r w:rsidRPr="005F5AF8">
              <w:rPr>
                <w:rFonts w:ascii="Arial" w:hAnsi="Arial" w:cs="Arial"/>
                <w:sz w:val="24"/>
                <w:szCs w:val="24"/>
              </w:rPr>
              <w:t xml:space="preserve">III. While not specifically required by law, </w:t>
            </w:r>
            <w:r w:rsidR="000A095F">
              <w:rPr>
                <w:rFonts w:ascii="Arial" w:hAnsi="Arial" w:cs="Arial"/>
                <w:sz w:val="24"/>
                <w:szCs w:val="24"/>
              </w:rPr>
              <w:t>CDII</w:t>
            </w:r>
            <w:r w:rsidRPr="005F5AF8">
              <w:rPr>
                <w:rFonts w:ascii="Arial" w:hAnsi="Arial" w:cs="Arial"/>
                <w:sz w:val="24"/>
                <w:szCs w:val="24"/>
              </w:rPr>
              <w:t xml:space="preserve"> requires state entities to develop, implement and maintain policies and procedures describing the measures and processes (what and how) </w:t>
            </w:r>
            <w:r w:rsidR="005F5AF8" w:rsidRPr="005F5AF8">
              <w:rPr>
                <w:rFonts w:ascii="Arial" w:hAnsi="Arial" w:cs="Arial"/>
                <w:sz w:val="24"/>
                <w:szCs w:val="24"/>
              </w:rPr>
              <w:t>utilized to de-identify health information.</w:t>
            </w:r>
          </w:p>
        </w:tc>
        <w:tc>
          <w:tcPr>
            <w:tcW w:w="1620" w:type="dxa"/>
          </w:tcPr>
          <w:p w14:paraId="3A03C609" w14:textId="77777777" w:rsidR="00867CEF" w:rsidRPr="006D2945" w:rsidRDefault="00867CEF">
            <w:pPr>
              <w:rPr>
                <w:rFonts w:ascii="Arial" w:hAnsi="Arial" w:cs="Arial"/>
                <w:sz w:val="24"/>
                <w:szCs w:val="24"/>
              </w:rPr>
            </w:pPr>
          </w:p>
        </w:tc>
      </w:tr>
      <w:tr w:rsidR="001C1862" w:rsidRPr="006D2945" w14:paraId="6FB33F8D" w14:textId="77777777" w:rsidTr="00CB196F">
        <w:tc>
          <w:tcPr>
            <w:tcW w:w="2093" w:type="dxa"/>
          </w:tcPr>
          <w:p w14:paraId="0F5525D6" w14:textId="77777777" w:rsidR="001C1862" w:rsidRPr="006D2945" w:rsidRDefault="001C1862" w:rsidP="00C41863">
            <w:pPr>
              <w:rPr>
                <w:rFonts w:ascii="Arial" w:hAnsi="Arial" w:cs="Arial"/>
                <w:sz w:val="24"/>
                <w:szCs w:val="24"/>
              </w:rPr>
            </w:pPr>
            <w:r w:rsidRPr="006D2945">
              <w:rPr>
                <w:rFonts w:ascii="Arial" w:hAnsi="Arial" w:cs="Arial"/>
                <w:sz w:val="24"/>
                <w:szCs w:val="24"/>
              </w:rPr>
              <w:t xml:space="preserve">2.6.0 – Incidental Disclosures </w:t>
            </w:r>
          </w:p>
        </w:tc>
        <w:tc>
          <w:tcPr>
            <w:tcW w:w="2317" w:type="dxa"/>
          </w:tcPr>
          <w:p w14:paraId="50994102" w14:textId="77777777" w:rsidR="001C1862" w:rsidRPr="006D2945" w:rsidRDefault="001C1862" w:rsidP="00C41863">
            <w:pPr>
              <w:rPr>
                <w:rFonts w:ascii="Arial" w:hAnsi="Arial" w:cs="Arial"/>
                <w:sz w:val="24"/>
                <w:szCs w:val="24"/>
              </w:rPr>
            </w:pPr>
            <w:r w:rsidRPr="006D2945">
              <w:rPr>
                <w:rFonts w:ascii="Arial" w:hAnsi="Arial" w:cs="Arial"/>
                <w:sz w:val="24"/>
                <w:szCs w:val="24"/>
              </w:rPr>
              <w:t xml:space="preserve">2.6.1 – Incidental Disclosures </w:t>
            </w:r>
          </w:p>
        </w:tc>
        <w:tc>
          <w:tcPr>
            <w:tcW w:w="6863" w:type="dxa"/>
          </w:tcPr>
          <w:p w14:paraId="4E8B0719" w14:textId="1D0735D4" w:rsidR="001C1862" w:rsidRPr="006D2945" w:rsidRDefault="001C1862" w:rsidP="006F2DC6">
            <w:pPr>
              <w:rPr>
                <w:rFonts w:ascii="Arial" w:hAnsi="Arial" w:cs="Arial"/>
                <w:sz w:val="24"/>
                <w:szCs w:val="24"/>
              </w:rPr>
            </w:pPr>
            <w:r w:rsidRPr="006D2945">
              <w:rPr>
                <w:rFonts w:ascii="Arial" w:hAnsi="Arial" w:cs="Arial"/>
                <w:sz w:val="24"/>
                <w:szCs w:val="24"/>
              </w:rPr>
              <w:t>III. A. State entities are responsible to develop and implement policies and procedures that require their workforce to limit and prevent disclosures of health information. When those disclosures are incidental to a permitted or required use or disclosure, it does not apply to impermissible uses or discl</w:t>
            </w:r>
            <w:r w:rsidR="005F5AF8">
              <w:rPr>
                <w:rFonts w:ascii="Arial" w:hAnsi="Arial" w:cs="Arial"/>
                <w:sz w:val="24"/>
                <w:szCs w:val="24"/>
              </w:rPr>
              <w:t>osures.</w:t>
            </w:r>
          </w:p>
        </w:tc>
        <w:tc>
          <w:tcPr>
            <w:tcW w:w="1620" w:type="dxa"/>
          </w:tcPr>
          <w:p w14:paraId="469C27E4" w14:textId="77777777" w:rsidR="001C1862" w:rsidRPr="006D2945" w:rsidRDefault="001C1862">
            <w:pPr>
              <w:rPr>
                <w:rFonts w:ascii="Arial" w:hAnsi="Arial" w:cs="Arial"/>
                <w:sz w:val="24"/>
                <w:szCs w:val="24"/>
              </w:rPr>
            </w:pPr>
          </w:p>
        </w:tc>
      </w:tr>
      <w:tr w:rsidR="00867CEF" w:rsidRPr="006D2945" w14:paraId="055C9A9D" w14:textId="77777777" w:rsidTr="00CB196F">
        <w:tc>
          <w:tcPr>
            <w:tcW w:w="2093" w:type="dxa"/>
          </w:tcPr>
          <w:p w14:paraId="52B14785" w14:textId="3B83159E" w:rsidR="00867CEF" w:rsidRPr="006D2945" w:rsidRDefault="00713A63" w:rsidP="00C41863">
            <w:pPr>
              <w:rPr>
                <w:rFonts w:ascii="Arial" w:hAnsi="Arial" w:cs="Arial"/>
                <w:sz w:val="24"/>
                <w:szCs w:val="24"/>
              </w:rPr>
            </w:pPr>
            <w:r>
              <w:rPr>
                <w:rFonts w:ascii="Arial" w:hAnsi="Arial" w:cs="Arial"/>
                <w:sz w:val="24"/>
                <w:szCs w:val="24"/>
              </w:rPr>
              <w:t>2.7.0 – Minimum Necessary</w:t>
            </w:r>
          </w:p>
        </w:tc>
        <w:tc>
          <w:tcPr>
            <w:tcW w:w="2317" w:type="dxa"/>
          </w:tcPr>
          <w:p w14:paraId="76119EB1" w14:textId="28E71FC3" w:rsidR="00867CEF" w:rsidRPr="006D2945" w:rsidRDefault="00867CEF" w:rsidP="00C41863">
            <w:pPr>
              <w:rPr>
                <w:rFonts w:ascii="Arial" w:hAnsi="Arial" w:cs="Arial"/>
                <w:sz w:val="24"/>
                <w:szCs w:val="24"/>
              </w:rPr>
            </w:pPr>
            <w:r>
              <w:rPr>
                <w:rFonts w:ascii="Arial" w:hAnsi="Arial" w:cs="Arial"/>
                <w:sz w:val="24"/>
                <w:szCs w:val="24"/>
              </w:rPr>
              <w:t>2.7.1</w:t>
            </w:r>
            <w:r w:rsidR="00713A63">
              <w:rPr>
                <w:rFonts w:ascii="Arial" w:hAnsi="Arial" w:cs="Arial"/>
                <w:sz w:val="24"/>
                <w:szCs w:val="24"/>
              </w:rPr>
              <w:t xml:space="preserve"> – Minimum Necessary</w:t>
            </w:r>
          </w:p>
        </w:tc>
        <w:tc>
          <w:tcPr>
            <w:tcW w:w="6863" w:type="dxa"/>
          </w:tcPr>
          <w:p w14:paraId="1D01E34A" w14:textId="16CC6963" w:rsidR="00867CEF" w:rsidRPr="00F62427" w:rsidRDefault="00116B67" w:rsidP="00F62427">
            <w:pPr>
              <w:rPr>
                <w:rFonts w:ascii="Arial" w:hAnsi="Arial"/>
                <w:sz w:val="24"/>
              </w:rPr>
            </w:pPr>
            <w:r w:rsidRPr="006F2DC6">
              <w:rPr>
                <w:rFonts w:ascii="Arial" w:hAnsi="Arial"/>
                <w:sz w:val="24"/>
              </w:rPr>
              <w:t xml:space="preserve">III. 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limit disclosure of health information to the minimum necessary.</w:t>
            </w:r>
          </w:p>
        </w:tc>
        <w:tc>
          <w:tcPr>
            <w:tcW w:w="1620" w:type="dxa"/>
          </w:tcPr>
          <w:p w14:paraId="6C795271" w14:textId="77777777" w:rsidR="00867CEF" w:rsidRPr="006D2945" w:rsidRDefault="00867CEF">
            <w:pPr>
              <w:rPr>
                <w:rFonts w:ascii="Arial" w:hAnsi="Arial" w:cs="Arial"/>
                <w:sz w:val="24"/>
                <w:szCs w:val="24"/>
              </w:rPr>
            </w:pPr>
          </w:p>
        </w:tc>
      </w:tr>
      <w:tr w:rsidR="00867CEF" w:rsidRPr="006D2945" w14:paraId="0EAECC0A" w14:textId="77777777" w:rsidTr="00CB196F">
        <w:tc>
          <w:tcPr>
            <w:tcW w:w="2093" w:type="dxa"/>
          </w:tcPr>
          <w:p w14:paraId="0305F19C" w14:textId="31F96FCC" w:rsidR="00867CEF" w:rsidRPr="006D2945" w:rsidRDefault="00713A63" w:rsidP="00C41863">
            <w:pPr>
              <w:rPr>
                <w:rFonts w:ascii="Arial" w:hAnsi="Arial" w:cs="Arial"/>
                <w:sz w:val="24"/>
                <w:szCs w:val="24"/>
              </w:rPr>
            </w:pPr>
            <w:r>
              <w:rPr>
                <w:rFonts w:ascii="Arial" w:hAnsi="Arial" w:cs="Arial"/>
                <w:sz w:val="24"/>
                <w:szCs w:val="24"/>
              </w:rPr>
              <w:t>2.8.0 – Patient’s (Personal) Representative</w:t>
            </w:r>
          </w:p>
        </w:tc>
        <w:tc>
          <w:tcPr>
            <w:tcW w:w="2317" w:type="dxa"/>
          </w:tcPr>
          <w:p w14:paraId="16129636" w14:textId="5A8AB553" w:rsidR="00867CEF" w:rsidRPr="006D2945" w:rsidRDefault="00867CEF" w:rsidP="00C41863">
            <w:pPr>
              <w:rPr>
                <w:rFonts w:ascii="Arial" w:hAnsi="Arial" w:cs="Arial"/>
                <w:sz w:val="24"/>
                <w:szCs w:val="24"/>
              </w:rPr>
            </w:pPr>
            <w:r>
              <w:rPr>
                <w:rFonts w:ascii="Arial" w:hAnsi="Arial" w:cs="Arial"/>
                <w:sz w:val="24"/>
                <w:szCs w:val="24"/>
              </w:rPr>
              <w:t>2.8.1</w:t>
            </w:r>
            <w:r w:rsidR="00713A63">
              <w:rPr>
                <w:rFonts w:ascii="Arial" w:hAnsi="Arial" w:cs="Arial"/>
                <w:sz w:val="24"/>
                <w:szCs w:val="24"/>
              </w:rPr>
              <w:t xml:space="preserve"> – Patient’s (Personal) Representative</w:t>
            </w:r>
          </w:p>
        </w:tc>
        <w:tc>
          <w:tcPr>
            <w:tcW w:w="6863" w:type="dxa"/>
          </w:tcPr>
          <w:p w14:paraId="6219535C" w14:textId="37F024D5" w:rsidR="00867CEF" w:rsidRPr="00F62427" w:rsidRDefault="00116B67" w:rsidP="00F62427">
            <w:pPr>
              <w:rPr>
                <w:rFonts w:ascii="Arial" w:hAnsi="Arial"/>
                <w:sz w:val="24"/>
              </w:rPr>
            </w:pPr>
            <w:r w:rsidRPr="00F62427">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disclose health information to a patient’s representative.</w:t>
            </w:r>
          </w:p>
        </w:tc>
        <w:tc>
          <w:tcPr>
            <w:tcW w:w="1620" w:type="dxa"/>
          </w:tcPr>
          <w:p w14:paraId="009FD4AE" w14:textId="77777777" w:rsidR="00867CEF" w:rsidRPr="006D2945" w:rsidRDefault="00867CEF">
            <w:pPr>
              <w:rPr>
                <w:rFonts w:ascii="Arial" w:hAnsi="Arial" w:cs="Arial"/>
                <w:sz w:val="24"/>
                <w:szCs w:val="24"/>
              </w:rPr>
            </w:pPr>
          </w:p>
        </w:tc>
      </w:tr>
      <w:tr w:rsidR="001C1862" w:rsidRPr="006D2945" w14:paraId="29C2B2E3" w14:textId="77777777" w:rsidTr="00EB78BD">
        <w:trPr>
          <w:cantSplit/>
        </w:trPr>
        <w:tc>
          <w:tcPr>
            <w:tcW w:w="2093" w:type="dxa"/>
          </w:tcPr>
          <w:p w14:paraId="4A99E960" w14:textId="77777777" w:rsidR="001C1862" w:rsidRPr="006D2945" w:rsidRDefault="001C1862" w:rsidP="00C41863">
            <w:pPr>
              <w:rPr>
                <w:rFonts w:ascii="Arial" w:hAnsi="Arial" w:cs="Arial"/>
                <w:sz w:val="24"/>
                <w:szCs w:val="24"/>
              </w:rPr>
            </w:pPr>
            <w:r w:rsidRPr="006D2945">
              <w:rPr>
                <w:rFonts w:ascii="Arial" w:hAnsi="Arial" w:cs="Arial"/>
                <w:sz w:val="24"/>
                <w:szCs w:val="24"/>
              </w:rPr>
              <w:lastRenderedPageBreak/>
              <w:t xml:space="preserve">2.9.0 – Requirements for Telehealth </w:t>
            </w:r>
          </w:p>
        </w:tc>
        <w:tc>
          <w:tcPr>
            <w:tcW w:w="2317" w:type="dxa"/>
          </w:tcPr>
          <w:p w14:paraId="0D9AEA1C" w14:textId="77777777" w:rsidR="001C1862" w:rsidRPr="006D2945" w:rsidRDefault="001C1862" w:rsidP="00C41863">
            <w:pPr>
              <w:rPr>
                <w:rFonts w:ascii="Arial" w:hAnsi="Arial" w:cs="Arial"/>
                <w:sz w:val="24"/>
                <w:szCs w:val="24"/>
              </w:rPr>
            </w:pPr>
            <w:r w:rsidRPr="006D2945">
              <w:rPr>
                <w:rFonts w:ascii="Arial" w:hAnsi="Arial" w:cs="Arial"/>
                <w:sz w:val="24"/>
                <w:szCs w:val="24"/>
              </w:rPr>
              <w:t xml:space="preserve">2.9.1 – Requirements for Telehealth </w:t>
            </w:r>
          </w:p>
        </w:tc>
        <w:tc>
          <w:tcPr>
            <w:tcW w:w="6863" w:type="dxa"/>
          </w:tcPr>
          <w:p w14:paraId="0B13ECAC" w14:textId="55D58D2E" w:rsidR="001C1862" w:rsidRPr="006D2945" w:rsidRDefault="001C1862" w:rsidP="00C41863">
            <w:pPr>
              <w:rPr>
                <w:rFonts w:ascii="Arial" w:hAnsi="Arial" w:cs="Arial"/>
                <w:sz w:val="24"/>
                <w:szCs w:val="24"/>
              </w:rPr>
            </w:pPr>
            <w:r w:rsidRPr="006D2945">
              <w:rPr>
                <w:rFonts w:ascii="Arial" w:hAnsi="Arial" w:cs="Arial"/>
                <w:sz w:val="24"/>
                <w:szCs w:val="24"/>
              </w:rPr>
              <w:t>II. Health care providers using telehealth to deliver health care services are responsible for implementing and maintaining security and privacy policies and procedures that address the unique circumstances involved in providing telehealth services.</w:t>
            </w:r>
          </w:p>
        </w:tc>
        <w:tc>
          <w:tcPr>
            <w:tcW w:w="1620" w:type="dxa"/>
          </w:tcPr>
          <w:p w14:paraId="166B3451" w14:textId="77777777" w:rsidR="001C1862" w:rsidRPr="006D2945" w:rsidRDefault="001C1862">
            <w:pPr>
              <w:rPr>
                <w:rFonts w:ascii="Arial" w:hAnsi="Arial" w:cs="Arial"/>
                <w:sz w:val="24"/>
                <w:szCs w:val="24"/>
              </w:rPr>
            </w:pPr>
          </w:p>
        </w:tc>
      </w:tr>
      <w:tr w:rsidR="00867CEF" w:rsidRPr="006D2945" w14:paraId="410167C8" w14:textId="77777777" w:rsidTr="00CB196F">
        <w:tc>
          <w:tcPr>
            <w:tcW w:w="2093" w:type="dxa"/>
          </w:tcPr>
          <w:p w14:paraId="5B0F78F5" w14:textId="3EB62306" w:rsidR="00867CEF" w:rsidRPr="006D2945" w:rsidRDefault="00713A63" w:rsidP="00577C6C">
            <w:pPr>
              <w:rPr>
                <w:rFonts w:ascii="Arial" w:hAnsi="Arial" w:cs="Arial"/>
                <w:sz w:val="24"/>
                <w:szCs w:val="24"/>
              </w:rPr>
            </w:pPr>
            <w:r>
              <w:rPr>
                <w:rFonts w:ascii="Arial" w:hAnsi="Arial" w:cs="Arial"/>
                <w:sz w:val="24"/>
                <w:szCs w:val="24"/>
              </w:rPr>
              <w:t>2.10.0 – Multiple Covered Functions</w:t>
            </w:r>
          </w:p>
        </w:tc>
        <w:tc>
          <w:tcPr>
            <w:tcW w:w="2317" w:type="dxa"/>
          </w:tcPr>
          <w:p w14:paraId="7BA04670" w14:textId="72BF648F" w:rsidR="00867CEF" w:rsidRPr="006D2945" w:rsidRDefault="00867CEF" w:rsidP="00577C6C">
            <w:pPr>
              <w:rPr>
                <w:rFonts w:ascii="Arial" w:hAnsi="Arial" w:cs="Arial"/>
                <w:sz w:val="24"/>
                <w:szCs w:val="24"/>
              </w:rPr>
            </w:pPr>
            <w:r>
              <w:rPr>
                <w:rFonts w:ascii="Arial" w:hAnsi="Arial" w:cs="Arial"/>
                <w:sz w:val="24"/>
                <w:szCs w:val="24"/>
              </w:rPr>
              <w:t>2.10.1</w:t>
            </w:r>
            <w:r w:rsidR="00713A63">
              <w:rPr>
                <w:rFonts w:ascii="Arial" w:hAnsi="Arial" w:cs="Arial"/>
                <w:sz w:val="24"/>
                <w:szCs w:val="24"/>
              </w:rPr>
              <w:t xml:space="preserve"> – Multiple Covered Functions</w:t>
            </w:r>
          </w:p>
        </w:tc>
        <w:tc>
          <w:tcPr>
            <w:tcW w:w="6863" w:type="dxa"/>
          </w:tcPr>
          <w:p w14:paraId="4EBB250E" w14:textId="60F1ECEB" w:rsidR="00867CEF" w:rsidRPr="006F2DC6" w:rsidRDefault="00F62427" w:rsidP="00F62427">
            <w:pPr>
              <w:rPr>
                <w:rFonts w:ascii="Arial" w:hAnsi="Arial" w:cs="Arial"/>
                <w:color w:val="0000FF" w:themeColor="hyperlink"/>
                <w:sz w:val="24"/>
                <w:szCs w:val="24"/>
                <w:u w:val="single"/>
              </w:rPr>
            </w:pPr>
            <w:r w:rsidRPr="00F62427">
              <w:rPr>
                <w:rFonts w:ascii="Arial" w:hAnsi="Arial"/>
                <w:sz w:val="24"/>
              </w:rPr>
              <w:t xml:space="preserve">III. </w:t>
            </w:r>
            <w:r w:rsidRPr="006F2DC6">
              <w:rPr>
                <w:rFonts w:ascii="Arial" w:hAnsi="Arial"/>
                <w:sz w:val="24"/>
              </w:rPr>
              <w:t xml:space="preserve">While not specifically required by law, </w:t>
            </w:r>
            <w:r w:rsidR="000A095F">
              <w:rPr>
                <w:rFonts w:ascii="Arial" w:hAnsi="Arial"/>
                <w:sz w:val="24"/>
              </w:rPr>
              <w:t>CDII</w:t>
            </w:r>
            <w:r w:rsidRPr="006F2DC6">
              <w:rPr>
                <w:rFonts w:ascii="Arial" w:hAnsi="Arial"/>
                <w:sz w:val="24"/>
              </w:rPr>
              <w:t xml:space="preserve"> requires state entities to develop, implement and maintain policies and procedures describing the measures and processes (what and how) utilized to ensure health information is appropriately used or disclosed in an organization with multiple functions.</w:t>
            </w:r>
          </w:p>
        </w:tc>
        <w:tc>
          <w:tcPr>
            <w:tcW w:w="1620" w:type="dxa"/>
          </w:tcPr>
          <w:p w14:paraId="7C89795A" w14:textId="77777777" w:rsidR="00867CEF" w:rsidRPr="006D2945" w:rsidRDefault="00867CEF">
            <w:pPr>
              <w:rPr>
                <w:rFonts w:ascii="Arial" w:hAnsi="Arial" w:cs="Arial"/>
                <w:sz w:val="24"/>
                <w:szCs w:val="24"/>
              </w:rPr>
            </w:pPr>
          </w:p>
        </w:tc>
      </w:tr>
      <w:tr w:rsidR="00F62427" w:rsidRPr="006D2945" w14:paraId="718984BB" w14:textId="77777777" w:rsidTr="00CB196F">
        <w:tc>
          <w:tcPr>
            <w:tcW w:w="2093" w:type="dxa"/>
          </w:tcPr>
          <w:p w14:paraId="2D556F6E"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3.1.0 – Administrative Safeguards </w:t>
            </w:r>
          </w:p>
          <w:p w14:paraId="487ED46A" w14:textId="0D216AFA" w:rsidR="00F62427" w:rsidRPr="006D2945" w:rsidRDefault="00F62427" w:rsidP="00577C6C">
            <w:pPr>
              <w:rPr>
                <w:rFonts w:ascii="Arial" w:hAnsi="Arial" w:cs="Arial"/>
                <w:sz w:val="24"/>
                <w:szCs w:val="24"/>
              </w:rPr>
            </w:pPr>
          </w:p>
        </w:tc>
        <w:tc>
          <w:tcPr>
            <w:tcW w:w="2317" w:type="dxa"/>
          </w:tcPr>
          <w:p w14:paraId="44A7D1CE"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3.1.1 – Contingency Plans </w:t>
            </w:r>
          </w:p>
        </w:tc>
        <w:tc>
          <w:tcPr>
            <w:tcW w:w="6863" w:type="dxa"/>
          </w:tcPr>
          <w:p w14:paraId="7528A9DE" w14:textId="3AD887DA" w:rsidR="00F62427" w:rsidRPr="006D2945" w:rsidRDefault="00F62427" w:rsidP="003D4BF2">
            <w:pPr>
              <w:rPr>
                <w:rFonts w:ascii="Arial" w:hAnsi="Arial" w:cs="Arial"/>
                <w:sz w:val="24"/>
                <w:szCs w:val="24"/>
              </w:rPr>
            </w:pPr>
            <w:r w:rsidRPr="006D2945">
              <w:rPr>
                <w:rFonts w:ascii="Arial" w:hAnsi="Arial" w:cs="Arial"/>
                <w:sz w:val="24"/>
                <w:szCs w:val="24"/>
              </w:rPr>
              <w:t xml:space="preserve">II. Policies and procedures must be implemented specifying how to respond to an emergency, or other unexpected occurrences (e.g., fires, natural disasters, system failures), that may damage systems </w:t>
            </w:r>
            <w:r w:rsidR="005F5AF8">
              <w:rPr>
                <w:rFonts w:ascii="Arial" w:hAnsi="Arial" w:cs="Arial"/>
                <w:sz w:val="24"/>
                <w:szCs w:val="24"/>
              </w:rPr>
              <w:t xml:space="preserve">containing health information. </w:t>
            </w:r>
          </w:p>
        </w:tc>
        <w:tc>
          <w:tcPr>
            <w:tcW w:w="1620" w:type="dxa"/>
          </w:tcPr>
          <w:p w14:paraId="3409A847" w14:textId="77777777" w:rsidR="00F62427" w:rsidRPr="006D2945" w:rsidRDefault="00F62427">
            <w:pPr>
              <w:rPr>
                <w:rFonts w:ascii="Arial" w:hAnsi="Arial" w:cs="Arial"/>
                <w:sz w:val="24"/>
                <w:szCs w:val="24"/>
              </w:rPr>
            </w:pPr>
          </w:p>
        </w:tc>
      </w:tr>
      <w:tr w:rsidR="00F62427" w:rsidRPr="006D2945" w14:paraId="4C4761F3" w14:textId="77777777" w:rsidTr="00CB196F">
        <w:trPr>
          <w:cantSplit/>
        </w:trPr>
        <w:tc>
          <w:tcPr>
            <w:tcW w:w="2093" w:type="dxa"/>
          </w:tcPr>
          <w:p w14:paraId="43C36B0F"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3.1.0 – Administrative Safeguards </w:t>
            </w:r>
          </w:p>
          <w:p w14:paraId="43B5EB13" w14:textId="77777777" w:rsidR="00F62427" w:rsidRPr="006D2945" w:rsidRDefault="00F62427" w:rsidP="00577C6C">
            <w:pPr>
              <w:rPr>
                <w:rFonts w:ascii="Arial" w:hAnsi="Arial" w:cs="Arial"/>
                <w:sz w:val="24"/>
                <w:szCs w:val="24"/>
              </w:rPr>
            </w:pPr>
          </w:p>
        </w:tc>
        <w:tc>
          <w:tcPr>
            <w:tcW w:w="2317" w:type="dxa"/>
          </w:tcPr>
          <w:p w14:paraId="35081C88"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3.1.2 – Incident Procedures </w:t>
            </w:r>
          </w:p>
          <w:p w14:paraId="133B6513" w14:textId="77777777" w:rsidR="00F62427" w:rsidRPr="006D2945" w:rsidRDefault="00F62427" w:rsidP="00577C6C">
            <w:pPr>
              <w:rPr>
                <w:rFonts w:ascii="Arial" w:hAnsi="Arial" w:cs="Arial"/>
                <w:sz w:val="24"/>
                <w:szCs w:val="24"/>
              </w:rPr>
            </w:pPr>
          </w:p>
        </w:tc>
        <w:tc>
          <w:tcPr>
            <w:tcW w:w="6863" w:type="dxa"/>
          </w:tcPr>
          <w:p w14:paraId="68A1514F" w14:textId="358EDC2C" w:rsidR="00F62427" w:rsidRPr="006D2945" w:rsidRDefault="00F62427" w:rsidP="005F5AF8">
            <w:pPr>
              <w:rPr>
                <w:rFonts w:ascii="Arial" w:hAnsi="Arial" w:cs="Arial"/>
                <w:sz w:val="24"/>
                <w:szCs w:val="24"/>
              </w:rPr>
            </w:pPr>
            <w:r w:rsidRPr="006D2945">
              <w:rPr>
                <w:rFonts w:ascii="Arial" w:hAnsi="Arial" w:cs="Arial"/>
                <w:sz w:val="24"/>
                <w:szCs w:val="24"/>
              </w:rPr>
              <w:t>II. As part of an overall security program, policies and procedures must be implemented that describe how workforce members are to identify, report, respond, and mitigate security incidents affecting health information</w:t>
            </w:r>
            <w:r w:rsidR="005F5AF8">
              <w:rPr>
                <w:rFonts w:ascii="Arial" w:hAnsi="Arial" w:cs="Arial"/>
                <w:sz w:val="24"/>
                <w:szCs w:val="24"/>
              </w:rPr>
              <w:t xml:space="preserve">, </w:t>
            </w:r>
            <w:r w:rsidR="005F5AF8" w:rsidRPr="005F5AF8">
              <w:rPr>
                <w:rFonts w:ascii="Arial" w:hAnsi="Arial" w:cs="Arial"/>
                <w:sz w:val="24"/>
                <w:szCs w:val="24"/>
              </w:rPr>
              <w:t>as well as support the implementation of the incident response plan.</w:t>
            </w:r>
          </w:p>
        </w:tc>
        <w:tc>
          <w:tcPr>
            <w:tcW w:w="1620" w:type="dxa"/>
          </w:tcPr>
          <w:p w14:paraId="0FB92183" w14:textId="77777777" w:rsidR="00F62427" w:rsidRPr="006D2945" w:rsidRDefault="00F62427">
            <w:pPr>
              <w:rPr>
                <w:rFonts w:ascii="Arial" w:hAnsi="Arial" w:cs="Arial"/>
                <w:sz w:val="24"/>
                <w:szCs w:val="24"/>
              </w:rPr>
            </w:pPr>
          </w:p>
        </w:tc>
      </w:tr>
      <w:tr w:rsidR="00F62427" w:rsidRPr="006D2945" w14:paraId="2D7BFCCD" w14:textId="77777777" w:rsidTr="00CB196F">
        <w:tc>
          <w:tcPr>
            <w:tcW w:w="2093" w:type="dxa"/>
          </w:tcPr>
          <w:p w14:paraId="3AD1005D" w14:textId="77777777" w:rsidR="005C4A4D" w:rsidRPr="006D2945" w:rsidRDefault="005C4A4D" w:rsidP="005C4A4D">
            <w:pPr>
              <w:rPr>
                <w:rFonts w:ascii="Arial" w:hAnsi="Arial" w:cs="Arial"/>
                <w:sz w:val="24"/>
                <w:szCs w:val="24"/>
              </w:rPr>
            </w:pPr>
            <w:r w:rsidRPr="006D2945">
              <w:rPr>
                <w:rFonts w:ascii="Arial" w:hAnsi="Arial" w:cs="Arial"/>
                <w:sz w:val="24"/>
                <w:szCs w:val="24"/>
              </w:rPr>
              <w:t xml:space="preserve">3.1.0 – Administrative Safeguards </w:t>
            </w:r>
          </w:p>
          <w:p w14:paraId="69858C6E" w14:textId="77777777" w:rsidR="00F62427" w:rsidRPr="006D2945" w:rsidRDefault="00F62427">
            <w:pPr>
              <w:rPr>
                <w:rFonts w:ascii="Arial" w:hAnsi="Arial" w:cs="Arial"/>
                <w:sz w:val="24"/>
                <w:szCs w:val="24"/>
              </w:rPr>
            </w:pPr>
          </w:p>
        </w:tc>
        <w:tc>
          <w:tcPr>
            <w:tcW w:w="2317" w:type="dxa"/>
          </w:tcPr>
          <w:p w14:paraId="43693A0B" w14:textId="77777777" w:rsidR="00F62427" w:rsidRPr="006D2945" w:rsidRDefault="00F62427" w:rsidP="00577C6C">
            <w:pPr>
              <w:rPr>
                <w:rFonts w:ascii="Arial" w:hAnsi="Arial" w:cs="Arial"/>
                <w:sz w:val="24"/>
                <w:szCs w:val="24"/>
              </w:rPr>
            </w:pPr>
            <w:r w:rsidRPr="006D2945">
              <w:rPr>
                <w:rFonts w:ascii="Arial" w:hAnsi="Arial" w:cs="Arial"/>
                <w:sz w:val="24"/>
                <w:szCs w:val="24"/>
              </w:rPr>
              <w:t xml:space="preserve">3.1.3 – Information Access Management </w:t>
            </w:r>
          </w:p>
          <w:p w14:paraId="36E488EB" w14:textId="77777777" w:rsidR="00F62427" w:rsidRPr="006D2945" w:rsidRDefault="00F62427" w:rsidP="00577C6C">
            <w:pPr>
              <w:rPr>
                <w:rFonts w:ascii="Arial" w:hAnsi="Arial" w:cs="Arial"/>
                <w:sz w:val="24"/>
                <w:szCs w:val="24"/>
              </w:rPr>
            </w:pPr>
          </w:p>
        </w:tc>
        <w:tc>
          <w:tcPr>
            <w:tcW w:w="6863" w:type="dxa"/>
          </w:tcPr>
          <w:p w14:paraId="78657FCD" w14:textId="2E51F83A" w:rsidR="00F62427" w:rsidRPr="006D2945" w:rsidRDefault="00F62427" w:rsidP="00577C6C">
            <w:pPr>
              <w:rPr>
                <w:rFonts w:ascii="Arial" w:hAnsi="Arial" w:cs="Arial"/>
                <w:sz w:val="24"/>
                <w:szCs w:val="24"/>
              </w:rPr>
            </w:pPr>
            <w:r w:rsidRPr="006D2945">
              <w:rPr>
                <w:rFonts w:ascii="Arial" w:hAnsi="Arial" w:cs="Arial"/>
                <w:sz w:val="24"/>
                <w:szCs w:val="24"/>
              </w:rPr>
              <w:t>II. Information access management policies and procedures must be developed, implemented and maintained, that specify who</w:t>
            </w:r>
            <w:r w:rsidR="004E14D3">
              <w:rPr>
                <w:rFonts w:ascii="Arial" w:hAnsi="Arial" w:cs="Arial"/>
                <w:sz w:val="24"/>
                <w:szCs w:val="24"/>
              </w:rPr>
              <w:t xml:space="preserve"> (persons or software programs)</w:t>
            </w:r>
            <w:r w:rsidRPr="006D2945">
              <w:rPr>
                <w:rFonts w:ascii="Arial" w:hAnsi="Arial" w:cs="Arial"/>
                <w:sz w:val="24"/>
                <w:szCs w:val="24"/>
              </w:rPr>
              <w:t xml:space="preserve"> has access to what specific health informat</w:t>
            </w:r>
            <w:r w:rsidR="004E14D3">
              <w:rPr>
                <w:rFonts w:ascii="Arial" w:hAnsi="Arial" w:cs="Arial"/>
                <w:sz w:val="24"/>
                <w:szCs w:val="24"/>
              </w:rPr>
              <w:t>ion and under what conditions.</w:t>
            </w:r>
          </w:p>
        </w:tc>
        <w:tc>
          <w:tcPr>
            <w:tcW w:w="1620" w:type="dxa"/>
          </w:tcPr>
          <w:p w14:paraId="68E4D2E8" w14:textId="77777777" w:rsidR="00F62427" w:rsidRPr="006D2945" w:rsidRDefault="00F62427">
            <w:pPr>
              <w:rPr>
                <w:rFonts w:ascii="Arial" w:hAnsi="Arial" w:cs="Arial"/>
                <w:sz w:val="24"/>
                <w:szCs w:val="24"/>
              </w:rPr>
            </w:pPr>
          </w:p>
        </w:tc>
      </w:tr>
      <w:tr w:rsidR="00F62427" w:rsidRPr="006D2945" w14:paraId="48000DE7" w14:textId="77777777" w:rsidTr="00EB78BD">
        <w:trPr>
          <w:cantSplit/>
        </w:trPr>
        <w:tc>
          <w:tcPr>
            <w:tcW w:w="2093" w:type="dxa"/>
          </w:tcPr>
          <w:p w14:paraId="089E1B3E" w14:textId="4857AD31" w:rsidR="00F62427" w:rsidRPr="006D2945" w:rsidRDefault="005C4A4D">
            <w:pPr>
              <w:rPr>
                <w:rFonts w:ascii="Arial" w:hAnsi="Arial" w:cs="Arial"/>
                <w:sz w:val="24"/>
                <w:szCs w:val="24"/>
              </w:rPr>
            </w:pPr>
            <w:r w:rsidRPr="006D2945">
              <w:rPr>
                <w:rFonts w:ascii="Arial" w:hAnsi="Arial" w:cs="Arial"/>
                <w:sz w:val="24"/>
                <w:szCs w:val="24"/>
              </w:rPr>
              <w:lastRenderedPageBreak/>
              <w:t>3.1.0 – Administrative Safeguards</w:t>
            </w:r>
          </w:p>
        </w:tc>
        <w:tc>
          <w:tcPr>
            <w:tcW w:w="2317" w:type="dxa"/>
          </w:tcPr>
          <w:p w14:paraId="5AC4742B" w14:textId="52E222A3" w:rsidR="00F62427" w:rsidRPr="006D2945" w:rsidRDefault="00F62427" w:rsidP="00C4289F">
            <w:pPr>
              <w:rPr>
                <w:rFonts w:ascii="Arial" w:hAnsi="Arial" w:cs="Arial"/>
                <w:sz w:val="24"/>
                <w:szCs w:val="24"/>
              </w:rPr>
            </w:pPr>
            <w:r w:rsidRPr="006D2945">
              <w:rPr>
                <w:rFonts w:ascii="Arial" w:hAnsi="Arial" w:cs="Arial"/>
                <w:sz w:val="24"/>
                <w:szCs w:val="24"/>
              </w:rPr>
              <w:t xml:space="preserve">3.1.4 – </w:t>
            </w:r>
            <w:r>
              <w:rPr>
                <w:rFonts w:ascii="Arial" w:hAnsi="Arial" w:cs="Arial"/>
                <w:sz w:val="24"/>
                <w:szCs w:val="24"/>
              </w:rPr>
              <w:t>Security Management Process</w:t>
            </w:r>
          </w:p>
        </w:tc>
        <w:tc>
          <w:tcPr>
            <w:tcW w:w="6863" w:type="dxa"/>
          </w:tcPr>
          <w:p w14:paraId="688D6B09" w14:textId="67A8D437" w:rsidR="004E14D3" w:rsidRPr="004E14D3" w:rsidRDefault="00F62427" w:rsidP="004E14D3">
            <w:pPr>
              <w:rPr>
                <w:rFonts w:ascii="Arial" w:hAnsi="Arial" w:cs="Arial"/>
                <w:sz w:val="24"/>
                <w:szCs w:val="24"/>
              </w:rPr>
            </w:pPr>
            <w:r w:rsidRPr="006D2945">
              <w:rPr>
                <w:rFonts w:ascii="Arial" w:hAnsi="Arial" w:cs="Arial"/>
                <w:sz w:val="24"/>
                <w:szCs w:val="24"/>
              </w:rPr>
              <w:t>II. Health information must be protected through implementation of se</w:t>
            </w:r>
            <w:r w:rsidR="004E14D3">
              <w:rPr>
                <w:rFonts w:ascii="Arial" w:hAnsi="Arial" w:cs="Arial"/>
                <w:sz w:val="24"/>
                <w:szCs w:val="24"/>
              </w:rPr>
              <w:t xml:space="preserve">curity policies and procedures </w:t>
            </w:r>
            <w:r w:rsidR="004E14D3" w:rsidRPr="004E14D3">
              <w:rPr>
                <w:rFonts w:ascii="Arial" w:hAnsi="Arial" w:cs="Arial"/>
                <w:sz w:val="24"/>
                <w:szCs w:val="24"/>
              </w:rPr>
              <w:t xml:space="preserve">that address </w:t>
            </w:r>
            <w:proofErr w:type="gramStart"/>
            <w:r w:rsidR="004E14D3" w:rsidRPr="004E14D3">
              <w:rPr>
                <w:rFonts w:ascii="Arial" w:hAnsi="Arial" w:cs="Arial"/>
                <w:sz w:val="24"/>
                <w:szCs w:val="24"/>
              </w:rPr>
              <w:t>all of</w:t>
            </w:r>
            <w:proofErr w:type="gramEnd"/>
            <w:r w:rsidR="004E14D3" w:rsidRPr="004E14D3">
              <w:rPr>
                <w:rFonts w:ascii="Arial" w:hAnsi="Arial" w:cs="Arial"/>
                <w:sz w:val="24"/>
                <w:szCs w:val="24"/>
              </w:rPr>
              <w:t xml:space="preserve"> the following:</w:t>
            </w:r>
          </w:p>
          <w:p w14:paraId="1450182E" w14:textId="77777777"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Periodic risk analyses </w:t>
            </w:r>
            <w:r>
              <w:rPr>
                <w:rFonts w:cs="Arial"/>
              </w:rPr>
              <w:t>(every two [2] years)</w:t>
            </w:r>
          </w:p>
          <w:p w14:paraId="5FBC635E" w14:textId="77777777"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Implementation of risk management activities </w:t>
            </w:r>
          </w:p>
          <w:p w14:paraId="593CF200" w14:textId="0BB135FF"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A </w:t>
            </w:r>
            <w:r w:rsidRPr="004E14D3">
              <w:rPr>
                <w:rFonts w:cs="Arial"/>
              </w:rPr>
              <w:t>workforce</w:t>
            </w:r>
            <w:r w:rsidRPr="005A4A91">
              <w:rPr>
                <w:rFonts w:cs="Arial"/>
              </w:rPr>
              <w:t xml:space="preserve"> member sanction policy </w:t>
            </w:r>
          </w:p>
          <w:p w14:paraId="121CD693" w14:textId="134088D2" w:rsidR="004E14D3" w:rsidRPr="005A4A91"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Regular review of information system activity (such as review of </w:t>
            </w:r>
            <w:r w:rsidRPr="004E14D3">
              <w:rPr>
                <w:rFonts w:cs="Arial"/>
              </w:rPr>
              <w:t>audit logs</w:t>
            </w:r>
            <w:r w:rsidRPr="005A4A91">
              <w:rPr>
                <w:rFonts w:cs="Arial"/>
              </w:rPr>
              <w:t xml:space="preserve"> and incident tracking reports) </w:t>
            </w:r>
          </w:p>
          <w:p w14:paraId="3DA97ADA" w14:textId="078AE8BE" w:rsidR="00F62427" w:rsidRPr="004E14D3" w:rsidRDefault="004E14D3" w:rsidP="004E14D3">
            <w:pPr>
              <w:pStyle w:val="ListParagraph"/>
              <w:numPr>
                <w:ilvl w:val="0"/>
                <w:numId w:val="2"/>
              </w:numPr>
              <w:spacing w:before="40" w:after="40" w:line="276" w:lineRule="auto"/>
              <w:ind w:left="526"/>
              <w:contextualSpacing w:val="0"/>
              <w:rPr>
                <w:rFonts w:cs="Arial"/>
              </w:rPr>
            </w:pPr>
            <w:r w:rsidRPr="005A4A91">
              <w:rPr>
                <w:rFonts w:cs="Arial"/>
              </w:rPr>
              <w:t xml:space="preserve">Documentation of measures </w:t>
            </w:r>
          </w:p>
        </w:tc>
        <w:tc>
          <w:tcPr>
            <w:tcW w:w="1620" w:type="dxa"/>
          </w:tcPr>
          <w:p w14:paraId="29DABFE2" w14:textId="77777777" w:rsidR="00F62427" w:rsidRPr="006D2945" w:rsidRDefault="00F62427">
            <w:pPr>
              <w:rPr>
                <w:rFonts w:ascii="Arial" w:hAnsi="Arial" w:cs="Arial"/>
                <w:sz w:val="24"/>
                <w:szCs w:val="24"/>
              </w:rPr>
            </w:pPr>
          </w:p>
        </w:tc>
      </w:tr>
      <w:tr w:rsidR="00F62427" w:rsidRPr="006D2945" w14:paraId="2CD3DEE8" w14:textId="77777777" w:rsidTr="003D4BF2">
        <w:trPr>
          <w:cantSplit/>
        </w:trPr>
        <w:tc>
          <w:tcPr>
            <w:tcW w:w="2093" w:type="dxa"/>
          </w:tcPr>
          <w:p w14:paraId="452237BA" w14:textId="0C8A5928" w:rsidR="00F62427" w:rsidRPr="006D2945" w:rsidRDefault="005C4A4D" w:rsidP="00C77C52">
            <w:pPr>
              <w:rPr>
                <w:rFonts w:ascii="Arial" w:hAnsi="Arial" w:cs="Arial"/>
                <w:sz w:val="24"/>
                <w:szCs w:val="24"/>
              </w:rPr>
            </w:pPr>
            <w:r w:rsidRPr="006D2945">
              <w:rPr>
                <w:rFonts w:ascii="Arial" w:hAnsi="Arial" w:cs="Arial"/>
                <w:sz w:val="24"/>
                <w:szCs w:val="24"/>
              </w:rPr>
              <w:t>3.1.0 – Administrative Safeguards</w:t>
            </w:r>
          </w:p>
        </w:tc>
        <w:tc>
          <w:tcPr>
            <w:tcW w:w="2317" w:type="dxa"/>
          </w:tcPr>
          <w:p w14:paraId="15FE8707" w14:textId="1C33B6E8" w:rsidR="00F62427" w:rsidRPr="006D2945" w:rsidRDefault="00F62427" w:rsidP="00C77C52">
            <w:pPr>
              <w:rPr>
                <w:rFonts w:ascii="Arial" w:hAnsi="Arial" w:cs="Arial"/>
                <w:sz w:val="24"/>
                <w:szCs w:val="24"/>
              </w:rPr>
            </w:pPr>
            <w:r w:rsidRPr="006D2945">
              <w:rPr>
                <w:rFonts w:ascii="Arial" w:hAnsi="Arial" w:cs="Arial"/>
                <w:sz w:val="24"/>
                <w:szCs w:val="24"/>
              </w:rPr>
              <w:t>3.1.7 – Verification of Identity</w:t>
            </w:r>
          </w:p>
        </w:tc>
        <w:tc>
          <w:tcPr>
            <w:tcW w:w="6863" w:type="dxa"/>
          </w:tcPr>
          <w:p w14:paraId="608EE23F" w14:textId="5B13F50C" w:rsidR="00F62427" w:rsidRPr="006D2945" w:rsidRDefault="00F62427" w:rsidP="004E14D3">
            <w:pPr>
              <w:rPr>
                <w:rFonts w:ascii="Arial" w:hAnsi="Arial" w:cs="Arial"/>
                <w:sz w:val="24"/>
                <w:szCs w:val="24"/>
              </w:rPr>
            </w:pPr>
            <w:r w:rsidRPr="006D2945">
              <w:rPr>
                <w:rFonts w:ascii="Arial" w:hAnsi="Arial" w:cs="Arial"/>
                <w:sz w:val="24"/>
                <w:szCs w:val="24"/>
              </w:rPr>
              <w:t>II. Policies and procedures must be implemented and maintained which specify that prior to disclosing health information, the identity of the requestor must be verified, and the authority that entitles the requestor to access health information must be established.</w:t>
            </w:r>
          </w:p>
        </w:tc>
        <w:tc>
          <w:tcPr>
            <w:tcW w:w="1620" w:type="dxa"/>
          </w:tcPr>
          <w:p w14:paraId="648A6865" w14:textId="77777777" w:rsidR="00F62427" w:rsidRPr="006D2945" w:rsidRDefault="00F62427">
            <w:pPr>
              <w:rPr>
                <w:rFonts w:ascii="Arial" w:hAnsi="Arial" w:cs="Arial"/>
                <w:sz w:val="24"/>
                <w:szCs w:val="24"/>
              </w:rPr>
            </w:pPr>
          </w:p>
        </w:tc>
      </w:tr>
      <w:tr w:rsidR="00F62427" w:rsidRPr="006D2945" w14:paraId="26E8F0FC" w14:textId="77777777" w:rsidTr="006F2DC6">
        <w:trPr>
          <w:cantSplit/>
        </w:trPr>
        <w:tc>
          <w:tcPr>
            <w:tcW w:w="2093" w:type="dxa"/>
          </w:tcPr>
          <w:p w14:paraId="30012C94" w14:textId="26A4BBA3" w:rsidR="00F62427" w:rsidRPr="006D2945" w:rsidRDefault="005C4A4D" w:rsidP="00C77C52">
            <w:pPr>
              <w:rPr>
                <w:rFonts w:ascii="Arial" w:hAnsi="Arial" w:cs="Arial"/>
                <w:sz w:val="24"/>
                <w:szCs w:val="24"/>
              </w:rPr>
            </w:pPr>
            <w:r w:rsidRPr="006D2945">
              <w:rPr>
                <w:rFonts w:ascii="Arial" w:hAnsi="Arial" w:cs="Arial"/>
                <w:sz w:val="24"/>
                <w:szCs w:val="24"/>
              </w:rPr>
              <w:t>3.2.0 – Physical Safeguards</w:t>
            </w:r>
          </w:p>
        </w:tc>
        <w:tc>
          <w:tcPr>
            <w:tcW w:w="2317" w:type="dxa"/>
          </w:tcPr>
          <w:p w14:paraId="381807CD" w14:textId="18BF231A" w:rsidR="00F62427" w:rsidRPr="006D2945" w:rsidRDefault="00F62427" w:rsidP="00084171">
            <w:pPr>
              <w:rPr>
                <w:rFonts w:ascii="Arial" w:hAnsi="Arial" w:cs="Arial"/>
                <w:sz w:val="24"/>
                <w:szCs w:val="24"/>
              </w:rPr>
            </w:pPr>
            <w:r w:rsidRPr="006D2945">
              <w:rPr>
                <w:rFonts w:ascii="Arial" w:hAnsi="Arial" w:cs="Arial"/>
                <w:sz w:val="24"/>
                <w:szCs w:val="24"/>
              </w:rPr>
              <w:t>3.2.2 – Device and Media Controls</w:t>
            </w:r>
          </w:p>
        </w:tc>
        <w:tc>
          <w:tcPr>
            <w:tcW w:w="6863" w:type="dxa"/>
          </w:tcPr>
          <w:p w14:paraId="0CF01BBE" w14:textId="7B45A13C" w:rsidR="00F62427" w:rsidRPr="006D2945" w:rsidRDefault="00F62427" w:rsidP="004E14D3">
            <w:pPr>
              <w:rPr>
                <w:rFonts w:ascii="Arial" w:hAnsi="Arial" w:cs="Arial"/>
                <w:sz w:val="24"/>
                <w:szCs w:val="24"/>
              </w:rPr>
            </w:pPr>
            <w:r w:rsidRPr="006D2945">
              <w:rPr>
                <w:rFonts w:ascii="Arial" w:hAnsi="Arial" w:cs="Arial"/>
                <w:sz w:val="24"/>
                <w:szCs w:val="24"/>
              </w:rPr>
              <w:t>II. Policies and procedures must be implemented to govern the receipt</w:t>
            </w:r>
            <w:r w:rsidR="004E14D3">
              <w:rPr>
                <w:rFonts w:ascii="Arial" w:hAnsi="Arial" w:cs="Arial"/>
                <w:sz w:val="24"/>
                <w:szCs w:val="24"/>
              </w:rPr>
              <w:t>, re-use,</w:t>
            </w:r>
            <w:r w:rsidRPr="006D2945">
              <w:rPr>
                <w:rFonts w:ascii="Arial" w:hAnsi="Arial" w:cs="Arial"/>
                <w:sz w:val="24"/>
                <w:szCs w:val="24"/>
              </w:rPr>
              <w:t xml:space="preserve"> and removal of </w:t>
            </w:r>
            <w:r w:rsidR="004E14D3">
              <w:rPr>
                <w:rFonts w:ascii="Arial" w:hAnsi="Arial" w:cs="Arial"/>
                <w:sz w:val="24"/>
                <w:szCs w:val="24"/>
              </w:rPr>
              <w:t>devices</w:t>
            </w:r>
            <w:r w:rsidRPr="006D2945">
              <w:rPr>
                <w:rFonts w:ascii="Arial" w:hAnsi="Arial" w:cs="Arial"/>
                <w:sz w:val="24"/>
                <w:szCs w:val="24"/>
              </w:rPr>
              <w:t xml:space="preserve"> and media that contain health information, into and out of an entity/organization, and the movement of these items within the entity/organization.</w:t>
            </w:r>
          </w:p>
        </w:tc>
        <w:tc>
          <w:tcPr>
            <w:tcW w:w="1620" w:type="dxa"/>
          </w:tcPr>
          <w:p w14:paraId="7264FA73" w14:textId="77777777" w:rsidR="00F62427" w:rsidRPr="006D2945" w:rsidRDefault="00F62427">
            <w:pPr>
              <w:rPr>
                <w:rFonts w:ascii="Arial" w:hAnsi="Arial" w:cs="Arial"/>
                <w:sz w:val="24"/>
                <w:szCs w:val="24"/>
              </w:rPr>
            </w:pPr>
          </w:p>
        </w:tc>
      </w:tr>
      <w:tr w:rsidR="00F62427" w:rsidRPr="006D2945" w14:paraId="52651595" w14:textId="77777777" w:rsidTr="00CB196F">
        <w:tc>
          <w:tcPr>
            <w:tcW w:w="2093" w:type="dxa"/>
          </w:tcPr>
          <w:p w14:paraId="5171B9E7" w14:textId="0DB9AD88" w:rsidR="00F62427" w:rsidRPr="006D2945" w:rsidRDefault="005C4A4D" w:rsidP="00C77C52">
            <w:pPr>
              <w:rPr>
                <w:rFonts w:ascii="Arial" w:hAnsi="Arial" w:cs="Arial"/>
                <w:sz w:val="24"/>
                <w:szCs w:val="24"/>
              </w:rPr>
            </w:pPr>
            <w:r w:rsidRPr="006D2945">
              <w:rPr>
                <w:rFonts w:ascii="Arial" w:hAnsi="Arial" w:cs="Arial"/>
                <w:sz w:val="24"/>
                <w:szCs w:val="24"/>
              </w:rPr>
              <w:t>3.2.0 – Physical Safeguards</w:t>
            </w:r>
          </w:p>
        </w:tc>
        <w:tc>
          <w:tcPr>
            <w:tcW w:w="2317" w:type="dxa"/>
          </w:tcPr>
          <w:p w14:paraId="12F5C244" w14:textId="2742F693" w:rsidR="00F62427" w:rsidRPr="006D2945" w:rsidRDefault="00F62427" w:rsidP="00084171">
            <w:pPr>
              <w:rPr>
                <w:rFonts w:ascii="Arial" w:hAnsi="Arial" w:cs="Arial"/>
                <w:sz w:val="24"/>
                <w:szCs w:val="24"/>
              </w:rPr>
            </w:pPr>
            <w:r w:rsidRPr="006D2945">
              <w:rPr>
                <w:rFonts w:ascii="Arial" w:hAnsi="Arial" w:cs="Arial"/>
                <w:sz w:val="24"/>
                <w:szCs w:val="24"/>
              </w:rPr>
              <w:t>3.2.3 – Facility Access Controls</w:t>
            </w:r>
          </w:p>
        </w:tc>
        <w:tc>
          <w:tcPr>
            <w:tcW w:w="6863" w:type="dxa"/>
          </w:tcPr>
          <w:p w14:paraId="792A5B07" w14:textId="7A1FEDEB" w:rsidR="004E14D3" w:rsidRPr="006D2945" w:rsidRDefault="00F62427" w:rsidP="004E14D3">
            <w:pPr>
              <w:rPr>
                <w:rFonts w:ascii="Arial" w:hAnsi="Arial" w:cs="Arial"/>
                <w:sz w:val="24"/>
                <w:szCs w:val="24"/>
              </w:rPr>
            </w:pPr>
            <w:r w:rsidRPr="006D2945">
              <w:rPr>
                <w:rFonts w:ascii="Arial" w:hAnsi="Arial" w:cs="Arial"/>
                <w:sz w:val="24"/>
                <w:szCs w:val="24"/>
              </w:rPr>
              <w:t xml:space="preserve">II. </w:t>
            </w:r>
            <w:r w:rsidR="004E14D3" w:rsidRPr="004E14D3">
              <w:rPr>
                <w:rFonts w:ascii="Arial" w:hAnsi="Arial" w:cs="Arial"/>
                <w:sz w:val="24"/>
                <w:szCs w:val="24"/>
              </w:rPr>
              <w:t xml:space="preserve">Policies and procedures must be implemented to limit physical access to a </w:t>
            </w:r>
            <w:proofErr w:type="gramStart"/>
            <w:r w:rsidR="004E14D3" w:rsidRPr="004E14D3">
              <w:rPr>
                <w:rFonts w:ascii="Arial" w:hAnsi="Arial" w:cs="Arial"/>
                <w:sz w:val="24"/>
                <w:szCs w:val="24"/>
              </w:rPr>
              <w:t>state entities electronic information systems</w:t>
            </w:r>
            <w:proofErr w:type="gramEnd"/>
            <w:r w:rsidR="004E14D3" w:rsidRPr="004E14D3">
              <w:rPr>
                <w:rFonts w:ascii="Arial" w:hAnsi="Arial" w:cs="Arial"/>
                <w:sz w:val="24"/>
                <w:szCs w:val="24"/>
              </w:rPr>
              <w:t>, used to store and process health information, and the facility or facilities in which they are housed, while ensuring that properly authorized access is allowed.</w:t>
            </w:r>
          </w:p>
        </w:tc>
        <w:tc>
          <w:tcPr>
            <w:tcW w:w="1620" w:type="dxa"/>
          </w:tcPr>
          <w:p w14:paraId="68F321D0" w14:textId="77777777" w:rsidR="00F62427" w:rsidRPr="006D2945" w:rsidRDefault="00F62427">
            <w:pPr>
              <w:rPr>
                <w:rFonts w:ascii="Arial" w:hAnsi="Arial" w:cs="Arial"/>
                <w:sz w:val="24"/>
                <w:szCs w:val="24"/>
              </w:rPr>
            </w:pPr>
          </w:p>
        </w:tc>
      </w:tr>
      <w:tr w:rsidR="00F62427" w:rsidRPr="006D2945" w14:paraId="01E7BA7D" w14:textId="77777777" w:rsidTr="00EB78BD">
        <w:trPr>
          <w:cantSplit/>
        </w:trPr>
        <w:tc>
          <w:tcPr>
            <w:tcW w:w="2093" w:type="dxa"/>
          </w:tcPr>
          <w:p w14:paraId="0AF9D9FC" w14:textId="708728A2" w:rsidR="00F62427" w:rsidRPr="006D2945" w:rsidRDefault="005C4A4D" w:rsidP="00C77C52">
            <w:pPr>
              <w:rPr>
                <w:rFonts w:ascii="Arial" w:hAnsi="Arial" w:cs="Arial"/>
                <w:sz w:val="24"/>
                <w:szCs w:val="24"/>
              </w:rPr>
            </w:pPr>
            <w:r w:rsidRPr="006D2945">
              <w:rPr>
                <w:rFonts w:ascii="Arial" w:hAnsi="Arial" w:cs="Arial"/>
                <w:sz w:val="24"/>
                <w:szCs w:val="24"/>
              </w:rPr>
              <w:lastRenderedPageBreak/>
              <w:t>3.2.0 – Physical Safeguards</w:t>
            </w:r>
          </w:p>
        </w:tc>
        <w:tc>
          <w:tcPr>
            <w:tcW w:w="2317" w:type="dxa"/>
          </w:tcPr>
          <w:p w14:paraId="2E2C5EC2" w14:textId="0C2EC88A" w:rsidR="00F62427" w:rsidRPr="006D2945" w:rsidRDefault="00F62427" w:rsidP="00084171">
            <w:pPr>
              <w:rPr>
                <w:rFonts w:ascii="Arial" w:hAnsi="Arial" w:cs="Arial"/>
                <w:sz w:val="24"/>
                <w:szCs w:val="24"/>
              </w:rPr>
            </w:pPr>
            <w:r w:rsidRPr="006D2945">
              <w:rPr>
                <w:rFonts w:ascii="Arial" w:hAnsi="Arial" w:cs="Arial"/>
                <w:sz w:val="24"/>
                <w:szCs w:val="24"/>
              </w:rPr>
              <w:t>3.2.4 – Workstation Use and Security</w:t>
            </w:r>
          </w:p>
        </w:tc>
        <w:tc>
          <w:tcPr>
            <w:tcW w:w="6863" w:type="dxa"/>
          </w:tcPr>
          <w:p w14:paraId="773BF384" w14:textId="79D00902" w:rsidR="004E14D3" w:rsidRPr="006D2945" w:rsidRDefault="00F62427">
            <w:pPr>
              <w:rPr>
                <w:rFonts w:ascii="Arial" w:hAnsi="Arial" w:cs="Arial"/>
                <w:sz w:val="24"/>
                <w:szCs w:val="24"/>
              </w:rPr>
            </w:pPr>
            <w:r w:rsidRPr="006D2945">
              <w:rPr>
                <w:rFonts w:ascii="Arial" w:hAnsi="Arial" w:cs="Arial"/>
                <w:sz w:val="24"/>
                <w:szCs w:val="24"/>
              </w:rPr>
              <w:t xml:space="preserve">III. </w:t>
            </w:r>
            <w:r w:rsidR="004E14D3">
              <w:rPr>
                <w:rFonts w:ascii="Arial" w:hAnsi="Arial" w:cs="Arial"/>
                <w:sz w:val="24"/>
                <w:szCs w:val="24"/>
              </w:rPr>
              <w:t xml:space="preserve">A. </w:t>
            </w:r>
            <w:r w:rsidR="004E14D3" w:rsidRPr="004E14D3">
              <w:rPr>
                <w:rFonts w:ascii="Arial" w:hAnsi="Arial" w:cs="Arial"/>
                <w:sz w:val="24"/>
                <w:szCs w:val="24"/>
              </w:rPr>
              <w:t xml:space="preserve">State entities are responsible to implement workstation and mobile device security policies and procedures to specify the proper functions to perform, the </w:t>
            </w:r>
            <w:proofErr w:type="gramStart"/>
            <w:r w:rsidR="004E14D3" w:rsidRPr="004E14D3">
              <w:rPr>
                <w:rFonts w:ascii="Arial" w:hAnsi="Arial" w:cs="Arial"/>
                <w:sz w:val="24"/>
                <w:szCs w:val="24"/>
              </w:rPr>
              <w:t>manner in which</w:t>
            </w:r>
            <w:proofErr w:type="gramEnd"/>
            <w:r w:rsidR="004E14D3" w:rsidRPr="004E14D3">
              <w:rPr>
                <w:rFonts w:ascii="Arial" w:hAnsi="Arial" w:cs="Arial"/>
                <w:sz w:val="24"/>
                <w:szCs w:val="24"/>
              </w:rPr>
              <w:t xml:space="preserve"> they are performed, and the physical attributes of the surroundings of a specific workstation or class of workstation that can access health information. In addition, the policies and procedures should protect health information from unauthorized access.</w:t>
            </w:r>
          </w:p>
        </w:tc>
        <w:tc>
          <w:tcPr>
            <w:tcW w:w="1620" w:type="dxa"/>
          </w:tcPr>
          <w:p w14:paraId="51FA1440" w14:textId="77777777" w:rsidR="00F62427" w:rsidRPr="006D2945" w:rsidRDefault="00F62427">
            <w:pPr>
              <w:rPr>
                <w:rFonts w:ascii="Arial" w:hAnsi="Arial" w:cs="Arial"/>
                <w:sz w:val="24"/>
                <w:szCs w:val="24"/>
              </w:rPr>
            </w:pPr>
          </w:p>
        </w:tc>
      </w:tr>
      <w:tr w:rsidR="00880F1A" w:rsidRPr="006D2945" w14:paraId="51B42CDD" w14:textId="77777777" w:rsidTr="00CB196F">
        <w:tc>
          <w:tcPr>
            <w:tcW w:w="2093" w:type="dxa"/>
          </w:tcPr>
          <w:p w14:paraId="31E9FBB8" w14:textId="2C07988D" w:rsidR="00880F1A" w:rsidRPr="006D2945" w:rsidRDefault="00880F1A" w:rsidP="005C4A4D">
            <w:pPr>
              <w:rPr>
                <w:rFonts w:ascii="Arial" w:hAnsi="Arial" w:cs="Arial"/>
                <w:sz w:val="24"/>
                <w:szCs w:val="24"/>
              </w:rPr>
            </w:pPr>
            <w:r w:rsidRPr="006D2945">
              <w:rPr>
                <w:rFonts w:ascii="Arial" w:hAnsi="Arial" w:cs="Arial"/>
                <w:sz w:val="24"/>
                <w:szCs w:val="24"/>
              </w:rPr>
              <w:t>3.3.0 – Technical Safeguards</w:t>
            </w:r>
          </w:p>
        </w:tc>
        <w:tc>
          <w:tcPr>
            <w:tcW w:w="2317" w:type="dxa"/>
          </w:tcPr>
          <w:p w14:paraId="786A7F0F" w14:textId="3CF67861" w:rsidR="00880F1A" w:rsidRPr="006D2945" w:rsidRDefault="00880F1A" w:rsidP="0066035D">
            <w:pPr>
              <w:rPr>
                <w:rFonts w:ascii="Arial" w:hAnsi="Arial" w:cs="Arial"/>
                <w:sz w:val="24"/>
                <w:szCs w:val="24"/>
              </w:rPr>
            </w:pPr>
            <w:r w:rsidRPr="006D2945">
              <w:rPr>
                <w:rFonts w:ascii="Arial" w:hAnsi="Arial" w:cs="Arial"/>
                <w:sz w:val="24"/>
                <w:szCs w:val="24"/>
              </w:rPr>
              <w:t>3.3.1 – Audit Controls</w:t>
            </w:r>
          </w:p>
        </w:tc>
        <w:tc>
          <w:tcPr>
            <w:tcW w:w="6863" w:type="dxa"/>
          </w:tcPr>
          <w:p w14:paraId="289962A7" w14:textId="6E6B3516" w:rsidR="00880F1A" w:rsidRPr="006D2945" w:rsidRDefault="00880F1A">
            <w:pPr>
              <w:rPr>
                <w:rFonts w:ascii="Arial" w:hAnsi="Arial" w:cs="Arial"/>
                <w:sz w:val="24"/>
                <w:szCs w:val="24"/>
              </w:rPr>
            </w:pPr>
            <w:r>
              <w:rPr>
                <w:rFonts w:ascii="Arial" w:hAnsi="Arial" w:cs="Arial"/>
                <w:sz w:val="24"/>
                <w:szCs w:val="24"/>
              </w:rPr>
              <w:t xml:space="preserve">III.A. </w:t>
            </w:r>
            <w:r w:rsidRPr="006F2DC6">
              <w:rPr>
                <w:rFonts w:ascii="Arial" w:hAnsi="Arial" w:cs="Arial"/>
                <w:sz w:val="24"/>
                <w:szCs w:val="24"/>
              </w:rPr>
              <w:t xml:space="preserve">State entities are responsible to develop and </w:t>
            </w:r>
            <w:hyperlink w:anchor="ImplementationDef" w:history="1">
              <w:r w:rsidRPr="006F2DC6">
                <w:rPr>
                  <w:rFonts w:ascii="Arial" w:hAnsi="Arial"/>
                  <w:sz w:val="24"/>
                  <w:szCs w:val="24"/>
                </w:rPr>
                <w:t>implement</w:t>
              </w:r>
            </w:hyperlink>
            <w:r w:rsidRPr="006F2DC6">
              <w:rPr>
                <w:rFonts w:ascii="Arial" w:hAnsi="Arial" w:cs="Arial"/>
                <w:sz w:val="24"/>
                <w:szCs w:val="24"/>
              </w:rPr>
              <w:t xml:space="preserve"> policies and procedures for regularly monitoring and reviewing audit records of their electronic information systems that contain, or use, electronic health information, to ensure that activity on those electronic systems is appropriate.</w:t>
            </w:r>
          </w:p>
        </w:tc>
        <w:tc>
          <w:tcPr>
            <w:tcW w:w="1620" w:type="dxa"/>
          </w:tcPr>
          <w:p w14:paraId="1F6A726B" w14:textId="77777777" w:rsidR="00880F1A" w:rsidRPr="006D2945" w:rsidRDefault="00880F1A">
            <w:pPr>
              <w:rPr>
                <w:rFonts w:ascii="Arial" w:hAnsi="Arial" w:cs="Arial"/>
                <w:sz w:val="24"/>
                <w:szCs w:val="24"/>
              </w:rPr>
            </w:pPr>
          </w:p>
        </w:tc>
      </w:tr>
      <w:tr w:rsidR="00880F1A" w:rsidRPr="006D2945" w14:paraId="31DD6460" w14:textId="77777777" w:rsidTr="003D4BF2">
        <w:trPr>
          <w:cantSplit/>
        </w:trPr>
        <w:tc>
          <w:tcPr>
            <w:tcW w:w="2093" w:type="dxa"/>
          </w:tcPr>
          <w:p w14:paraId="082A0AC2" w14:textId="57FBAD3D" w:rsidR="00880F1A" w:rsidRPr="006D2945" w:rsidRDefault="005C4A4D" w:rsidP="002A6F19">
            <w:pPr>
              <w:rPr>
                <w:rFonts w:ascii="Arial" w:hAnsi="Arial" w:cs="Arial"/>
                <w:sz w:val="24"/>
                <w:szCs w:val="24"/>
              </w:rPr>
            </w:pPr>
            <w:r w:rsidRPr="006D2945">
              <w:rPr>
                <w:rFonts w:ascii="Arial" w:hAnsi="Arial" w:cs="Arial"/>
                <w:sz w:val="24"/>
                <w:szCs w:val="24"/>
              </w:rPr>
              <w:t>3.3.0 – Technical Safeguards</w:t>
            </w:r>
          </w:p>
        </w:tc>
        <w:tc>
          <w:tcPr>
            <w:tcW w:w="2317" w:type="dxa"/>
          </w:tcPr>
          <w:p w14:paraId="12F1C4FB" w14:textId="374EB965" w:rsidR="00880F1A" w:rsidRPr="006D2945" w:rsidRDefault="00880F1A" w:rsidP="00C73B67">
            <w:pPr>
              <w:rPr>
                <w:rFonts w:ascii="Arial" w:hAnsi="Arial" w:cs="Arial"/>
                <w:sz w:val="24"/>
                <w:szCs w:val="24"/>
              </w:rPr>
            </w:pPr>
            <w:r w:rsidRPr="006D2945">
              <w:rPr>
                <w:rFonts w:ascii="Arial" w:hAnsi="Arial" w:cs="Arial"/>
                <w:sz w:val="24"/>
                <w:szCs w:val="24"/>
              </w:rPr>
              <w:t>3.3.2 – Encryption</w:t>
            </w:r>
          </w:p>
        </w:tc>
        <w:tc>
          <w:tcPr>
            <w:tcW w:w="6863" w:type="dxa"/>
          </w:tcPr>
          <w:p w14:paraId="601E9D75" w14:textId="622B2BE9" w:rsidR="00880F1A" w:rsidRPr="006D2945" w:rsidRDefault="00880F1A">
            <w:pPr>
              <w:rPr>
                <w:rFonts w:ascii="Arial" w:hAnsi="Arial" w:cs="Arial"/>
                <w:sz w:val="24"/>
                <w:szCs w:val="24"/>
              </w:rPr>
            </w:pPr>
            <w:r w:rsidRPr="006D2945">
              <w:rPr>
                <w:rFonts w:ascii="Arial" w:hAnsi="Arial" w:cs="Arial"/>
                <w:sz w:val="24"/>
                <w:szCs w:val="24"/>
              </w:rPr>
              <w:t>III. A. State entities are responsible for implementing policies and procedures regarding the encryption methods their organization utilizes to prevent unauthorized access to health information.</w:t>
            </w:r>
          </w:p>
        </w:tc>
        <w:tc>
          <w:tcPr>
            <w:tcW w:w="1620" w:type="dxa"/>
          </w:tcPr>
          <w:p w14:paraId="118B8E43" w14:textId="77777777" w:rsidR="00880F1A" w:rsidRPr="006D2945" w:rsidRDefault="00880F1A">
            <w:pPr>
              <w:rPr>
                <w:rFonts w:ascii="Arial" w:hAnsi="Arial" w:cs="Arial"/>
                <w:sz w:val="24"/>
                <w:szCs w:val="24"/>
              </w:rPr>
            </w:pPr>
          </w:p>
        </w:tc>
      </w:tr>
      <w:tr w:rsidR="00880F1A" w:rsidRPr="006D2945" w14:paraId="4C7022A7" w14:textId="77777777" w:rsidTr="002A6F19">
        <w:tc>
          <w:tcPr>
            <w:tcW w:w="2093" w:type="dxa"/>
          </w:tcPr>
          <w:p w14:paraId="531D9C28" w14:textId="0C5731CF" w:rsidR="00880F1A" w:rsidRPr="006D2945" w:rsidRDefault="005C4A4D" w:rsidP="002A6F19">
            <w:pPr>
              <w:rPr>
                <w:rFonts w:ascii="Arial" w:hAnsi="Arial" w:cs="Arial"/>
                <w:sz w:val="24"/>
                <w:szCs w:val="24"/>
              </w:rPr>
            </w:pPr>
            <w:r w:rsidRPr="006D2945">
              <w:rPr>
                <w:rFonts w:ascii="Arial" w:hAnsi="Arial" w:cs="Arial"/>
                <w:sz w:val="24"/>
                <w:szCs w:val="24"/>
              </w:rPr>
              <w:t>3.3.0 – Technical Safeguards</w:t>
            </w:r>
          </w:p>
        </w:tc>
        <w:tc>
          <w:tcPr>
            <w:tcW w:w="2317" w:type="dxa"/>
          </w:tcPr>
          <w:p w14:paraId="31FC9F6C" w14:textId="2D4069C7" w:rsidR="00880F1A" w:rsidRPr="006D2945" w:rsidRDefault="00880F1A" w:rsidP="002A6F19">
            <w:pPr>
              <w:rPr>
                <w:rFonts w:ascii="Arial" w:hAnsi="Arial" w:cs="Arial"/>
                <w:sz w:val="24"/>
                <w:szCs w:val="24"/>
              </w:rPr>
            </w:pPr>
            <w:r>
              <w:rPr>
                <w:rFonts w:ascii="Arial" w:hAnsi="Arial" w:cs="Arial"/>
                <w:sz w:val="24"/>
                <w:szCs w:val="24"/>
              </w:rPr>
              <w:t>3.3.4 – Integrity</w:t>
            </w:r>
          </w:p>
        </w:tc>
        <w:tc>
          <w:tcPr>
            <w:tcW w:w="6863" w:type="dxa"/>
          </w:tcPr>
          <w:p w14:paraId="437CB37F" w14:textId="1B26D2DC" w:rsidR="00880F1A" w:rsidRPr="006D2945" w:rsidRDefault="00880F1A" w:rsidP="00B83EA8">
            <w:pPr>
              <w:rPr>
                <w:rFonts w:ascii="Arial" w:hAnsi="Arial" w:cs="Arial"/>
                <w:sz w:val="24"/>
                <w:szCs w:val="24"/>
              </w:rPr>
            </w:pPr>
            <w:r w:rsidRPr="00F62427">
              <w:rPr>
                <w:rFonts w:ascii="Arial" w:hAnsi="Arial" w:cs="Arial"/>
                <w:sz w:val="24"/>
                <w:szCs w:val="24"/>
              </w:rPr>
              <w:t>III. A</w:t>
            </w:r>
            <w:r w:rsidR="00B83EA8">
              <w:rPr>
                <w:rFonts w:ascii="Arial" w:hAnsi="Arial" w:cs="Arial"/>
                <w:sz w:val="24"/>
                <w:szCs w:val="24"/>
              </w:rPr>
              <w:t xml:space="preserve">. </w:t>
            </w:r>
            <w:r w:rsidRPr="006F2DC6">
              <w:rPr>
                <w:rFonts w:ascii="Arial" w:hAnsi="Arial" w:cs="Arial"/>
                <w:sz w:val="24"/>
                <w:szCs w:val="24"/>
              </w:rPr>
              <w:t>State entities are responsible to implement policies and procedures that safeguard, and maintain the integrity of, health information from being improperly altered or destroyed during processing, in storage, or while in transit.</w:t>
            </w:r>
          </w:p>
        </w:tc>
        <w:tc>
          <w:tcPr>
            <w:tcW w:w="1620" w:type="dxa"/>
          </w:tcPr>
          <w:p w14:paraId="21FEF0FF" w14:textId="77777777" w:rsidR="00880F1A" w:rsidRPr="006D2945" w:rsidRDefault="00880F1A" w:rsidP="002A6F19">
            <w:pPr>
              <w:rPr>
                <w:rFonts w:ascii="Arial" w:hAnsi="Arial" w:cs="Arial"/>
                <w:sz w:val="24"/>
                <w:szCs w:val="24"/>
              </w:rPr>
            </w:pPr>
          </w:p>
        </w:tc>
      </w:tr>
      <w:tr w:rsidR="00880F1A" w:rsidRPr="006D2945" w14:paraId="40A2AB77" w14:textId="77777777" w:rsidTr="006F2DC6">
        <w:trPr>
          <w:cantSplit/>
        </w:trPr>
        <w:tc>
          <w:tcPr>
            <w:tcW w:w="2093" w:type="dxa"/>
          </w:tcPr>
          <w:p w14:paraId="26796513" w14:textId="18493271" w:rsidR="00880F1A" w:rsidRPr="00FA05DA" w:rsidRDefault="005C4A4D" w:rsidP="002A6F19">
            <w:pPr>
              <w:rPr>
                <w:rFonts w:ascii="Arial" w:hAnsi="Arial" w:cs="Arial"/>
                <w:sz w:val="24"/>
                <w:szCs w:val="24"/>
              </w:rPr>
            </w:pPr>
            <w:r w:rsidRPr="006D2945">
              <w:rPr>
                <w:rFonts w:ascii="Arial" w:hAnsi="Arial" w:cs="Arial"/>
                <w:sz w:val="24"/>
                <w:szCs w:val="24"/>
              </w:rPr>
              <w:t>3.3.0 – Technical Safeguards</w:t>
            </w:r>
          </w:p>
        </w:tc>
        <w:tc>
          <w:tcPr>
            <w:tcW w:w="2317" w:type="dxa"/>
          </w:tcPr>
          <w:p w14:paraId="70618D47" w14:textId="6A665E0D" w:rsidR="00880F1A" w:rsidRPr="006D2945" w:rsidRDefault="00880F1A" w:rsidP="00C73B67">
            <w:pPr>
              <w:rPr>
                <w:rFonts w:ascii="Arial" w:hAnsi="Arial" w:cs="Arial"/>
                <w:sz w:val="24"/>
                <w:szCs w:val="24"/>
              </w:rPr>
            </w:pPr>
            <w:r w:rsidRPr="006D2945">
              <w:rPr>
                <w:rFonts w:ascii="Arial" w:hAnsi="Arial" w:cs="Arial"/>
                <w:sz w:val="24"/>
                <w:szCs w:val="24"/>
              </w:rPr>
              <w:t>3.</w:t>
            </w:r>
            <w:r>
              <w:rPr>
                <w:rFonts w:ascii="Arial" w:hAnsi="Arial" w:cs="Arial"/>
                <w:sz w:val="24"/>
                <w:szCs w:val="24"/>
              </w:rPr>
              <w:t>3.5</w:t>
            </w:r>
            <w:r w:rsidRPr="006D2945">
              <w:rPr>
                <w:rFonts w:ascii="Arial" w:hAnsi="Arial" w:cs="Arial"/>
                <w:sz w:val="24"/>
                <w:szCs w:val="24"/>
              </w:rPr>
              <w:t xml:space="preserve"> – Access Control</w:t>
            </w:r>
          </w:p>
        </w:tc>
        <w:tc>
          <w:tcPr>
            <w:tcW w:w="6863" w:type="dxa"/>
          </w:tcPr>
          <w:p w14:paraId="6975BDE6" w14:textId="460D4288" w:rsidR="00880F1A" w:rsidRPr="006D2945" w:rsidRDefault="00880F1A" w:rsidP="00B83EA8">
            <w:pPr>
              <w:rPr>
                <w:rFonts w:ascii="Arial" w:hAnsi="Arial" w:cs="Arial"/>
                <w:sz w:val="24"/>
                <w:szCs w:val="24"/>
              </w:rPr>
            </w:pPr>
            <w:r>
              <w:rPr>
                <w:rFonts w:ascii="Arial" w:hAnsi="Arial" w:cs="Arial"/>
                <w:sz w:val="24"/>
                <w:szCs w:val="24"/>
              </w:rPr>
              <w:t>III.A</w:t>
            </w:r>
            <w:r w:rsidR="00B83EA8">
              <w:rPr>
                <w:rFonts w:ascii="Arial" w:hAnsi="Arial" w:cs="Arial"/>
                <w:sz w:val="24"/>
                <w:szCs w:val="24"/>
              </w:rPr>
              <w:t xml:space="preserve">. </w:t>
            </w:r>
            <w:r w:rsidRPr="006F2DC6">
              <w:rPr>
                <w:rFonts w:ascii="Arial" w:hAnsi="Arial" w:cs="Arial"/>
                <w:sz w:val="24"/>
                <w:szCs w:val="24"/>
              </w:rPr>
              <w:t>For all information systems that contain health information, policies and procedures must be implemented that limit access only to those persons or software programs that have been granted access rights according to applicable state and federal requirements.</w:t>
            </w:r>
          </w:p>
        </w:tc>
        <w:tc>
          <w:tcPr>
            <w:tcW w:w="1620" w:type="dxa"/>
          </w:tcPr>
          <w:p w14:paraId="650309FA" w14:textId="77777777" w:rsidR="00880F1A" w:rsidRPr="006D2945" w:rsidRDefault="00880F1A" w:rsidP="002A6F19">
            <w:pPr>
              <w:rPr>
                <w:rFonts w:ascii="Arial" w:hAnsi="Arial" w:cs="Arial"/>
                <w:sz w:val="24"/>
                <w:szCs w:val="24"/>
              </w:rPr>
            </w:pPr>
          </w:p>
        </w:tc>
      </w:tr>
      <w:tr w:rsidR="00B83EA8" w:rsidRPr="006D2945" w14:paraId="042BE4C6" w14:textId="77777777" w:rsidTr="00CB196F">
        <w:tc>
          <w:tcPr>
            <w:tcW w:w="2093" w:type="dxa"/>
          </w:tcPr>
          <w:p w14:paraId="26C1E5E4" w14:textId="32BC68A6" w:rsidR="00B83EA8" w:rsidRPr="006D2945" w:rsidRDefault="00B83EA8" w:rsidP="0066035D">
            <w:pPr>
              <w:rPr>
                <w:rFonts w:ascii="Arial" w:hAnsi="Arial" w:cs="Arial"/>
                <w:sz w:val="24"/>
                <w:szCs w:val="24"/>
              </w:rPr>
            </w:pPr>
            <w:r>
              <w:rPr>
                <w:rFonts w:ascii="Arial" w:hAnsi="Arial" w:cs="Arial"/>
                <w:sz w:val="24"/>
                <w:szCs w:val="24"/>
              </w:rPr>
              <w:t>3.4.0 – Policy and Procedures</w:t>
            </w:r>
          </w:p>
        </w:tc>
        <w:tc>
          <w:tcPr>
            <w:tcW w:w="2317" w:type="dxa"/>
          </w:tcPr>
          <w:p w14:paraId="779D2BA0" w14:textId="242B7B49" w:rsidR="00B83EA8" w:rsidRPr="006D2945" w:rsidRDefault="00B83EA8" w:rsidP="0066035D">
            <w:pPr>
              <w:rPr>
                <w:rFonts w:ascii="Arial" w:hAnsi="Arial" w:cs="Arial"/>
                <w:sz w:val="24"/>
                <w:szCs w:val="24"/>
              </w:rPr>
            </w:pPr>
            <w:r>
              <w:rPr>
                <w:rFonts w:ascii="Arial" w:hAnsi="Arial" w:cs="Arial"/>
                <w:sz w:val="24"/>
                <w:szCs w:val="24"/>
              </w:rPr>
              <w:t>3.4.1 – Documentation</w:t>
            </w:r>
          </w:p>
        </w:tc>
        <w:tc>
          <w:tcPr>
            <w:tcW w:w="6863" w:type="dxa"/>
          </w:tcPr>
          <w:p w14:paraId="639F841F" w14:textId="1454FDE7" w:rsidR="00B83EA8" w:rsidRPr="006D2945" w:rsidRDefault="00B83EA8">
            <w:pPr>
              <w:rPr>
                <w:rFonts w:ascii="Arial" w:hAnsi="Arial" w:cs="Arial"/>
                <w:sz w:val="24"/>
                <w:szCs w:val="24"/>
              </w:rPr>
            </w:pPr>
            <w:r>
              <w:rPr>
                <w:rFonts w:ascii="Arial" w:hAnsi="Arial" w:cs="Arial"/>
                <w:sz w:val="24"/>
                <w:szCs w:val="24"/>
              </w:rPr>
              <w:t>II. Security policies and procedures must be developed, implemented, utilized and maintained to ensure the confidentiality, integrity, and availability of health information that is created, received, maintained, and transmitted.</w:t>
            </w:r>
          </w:p>
        </w:tc>
        <w:tc>
          <w:tcPr>
            <w:tcW w:w="1620" w:type="dxa"/>
          </w:tcPr>
          <w:p w14:paraId="799C81C9" w14:textId="77777777" w:rsidR="00B83EA8" w:rsidRPr="006D2945" w:rsidRDefault="00B83EA8">
            <w:pPr>
              <w:rPr>
                <w:rFonts w:ascii="Arial" w:hAnsi="Arial" w:cs="Arial"/>
                <w:sz w:val="24"/>
                <w:szCs w:val="24"/>
              </w:rPr>
            </w:pPr>
          </w:p>
        </w:tc>
      </w:tr>
      <w:tr w:rsidR="00A83766" w:rsidRPr="006D2945" w14:paraId="674B569B" w14:textId="77777777" w:rsidTr="00CB196F">
        <w:tc>
          <w:tcPr>
            <w:tcW w:w="2093" w:type="dxa"/>
          </w:tcPr>
          <w:p w14:paraId="541FF433" w14:textId="77777777" w:rsidR="00A83766" w:rsidRPr="006D2945" w:rsidRDefault="00A83766" w:rsidP="0066035D">
            <w:pPr>
              <w:rPr>
                <w:rFonts w:ascii="Arial" w:hAnsi="Arial" w:cs="Arial"/>
                <w:sz w:val="24"/>
                <w:szCs w:val="24"/>
              </w:rPr>
            </w:pPr>
            <w:r w:rsidRPr="006D2945">
              <w:rPr>
                <w:rFonts w:ascii="Arial" w:hAnsi="Arial" w:cs="Arial"/>
                <w:sz w:val="24"/>
                <w:szCs w:val="24"/>
              </w:rPr>
              <w:lastRenderedPageBreak/>
              <w:t xml:space="preserve">4.1.0 – Administrative Requirements </w:t>
            </w:r>
          </w:p>
        </w:tc>
        <w:tc>
          <w:tcPr>
            <w:tcW w:w="2317" w:type="dxa"/>
          </w:tcPr>
          <w:p w14:paraId="68E81C25" w14:textId="77777777" w:rsidR="00320629" w:rsidRPr="006D2945" w:rsidRDefault="00A83766" w:rsidP="0066035D">
            <w:pPr>
              <w:rPr>
                <w:rFonts w:ascii="Arial" w:hAnsi="Arial" w:cs="Arial"/>
                <w:sz w:val="24"/>
                <w:szCs w:val="24"/>
              </w:rPr>
            </w:pPr>
            <w:r w:rsidRPr="006D2945">
              <w:rPr>
                <w:rFonts w:ascii="Arial" w:hAnsi="Arial" w:cs="Arial"/>
                <w:sz w:val="24"/>
                <w:szCs w:val="24"/>
              </w:rPr>
              <w:t xml:space="preserve">4.1.1 – Policies and Procedures </w:t>
            </w:r>
          </w:p>
        </w:tc>
        <w:tc>
          <w:tcPr>
            <w:tcW w:w="6863" w:type="dxa"/>
          </w:tcPr>
          <w:p w14:paraId="2B8CAC8E" w14:textId="6A0CA3D7" w:rsidR="00A83766" w:rsidRPr="006D2945" w:rsidRDefault="00B83EA8">
            <w:pPr>
              <w:rPr>
                <w:rFonts w:ascii="Arial" w:hAnsi="Arial" w:cs="Arial"/>
                <w:sz w:val="24"/>
                <w:szCs w:val="24"/>
              </w:rPr>
            </w:pPr>
            <w:r>
              <w:rPr>
                <w:rFonts w:ascii="Arial" w:hAnsi="Arial" w:cs="Arial"/>
                <w:sz w:val="24"/>
                <w:szCs w:val="24"/>
              </w:rPr>
              <w:t>III. A. State entities are responsible to develop and maintain operational privacy policies and procedures that are compliant with SHIPM.</w:t>
            </w:r>
          </w:p>
        </w:tc>
        <w:tc>
          <w:tcPr>
            <w:tcW w:w="1620" w:type="dxa"/>
          </w:tcPr>
          <w:p w14:paraId="4EC499C1" w14:textId="77777777" w:rsidR="00A83766" w:rsidRPr="006D2945" w:rsidRDefault="00A83766">
            <w:pPr>
              <w:rPr>
                <w:rFonts w:ascii="Arial" w:hAnsi="Arial" w:cs="Arial"/>
                <w:sz w:val="24"/>
                <w:szCs w:val="24"/>
              </w:rPr>
            </w:pPr>
          </w:p>
        </w:tc>
      </w:tr>
      <w:tr w:rsidR="00A83766" w:rsidRPr="006D2945" w14:paraId="33973053" w14:textId="77777777" w:rsidTr="00CB196F">
        <w:tc>
          <w:tcPr>
            <w:tcW w:w="2093" w:type="dxa"/>
          </w:tcPr>
          <w:p w14:paraId="50465BD0" w14:textId="61F307B5" w:rsidR="00A83766" w:rsidRPr="006D2945" w:rsidRDefault="005C4A4D">
            <w:pPr>
              <w:rPr>
                <w:rFonts w:ascii="Arial" w:hAnsi="Arial" w:cs="Arial"/>
                <w:sz w:val="24"/>
                <w:szCs w:val="24"/>
              </w:rPr>
            </w:pPr>
            <w:r w:rsidRPr="006D2945">
              <w:rPr>
                <w:rFonts w:ascii="Arial" w:hAnsi="Arial" w:cs="Arial"/>
                <w:sz w:val="24"/>
                <w:szCs w:val="24"/>
              </w:rPr>
              <w:t>4.1.0 – Administrative Requirements</w:t>
            </w:r>
          </w:p>
        </w:tc>
        <w:tc>
          <w:tcPr>
            <w:tcW w:w="2317" w:type="dxa"/>
          </w:tcPr>
          <w:p w14:paraId="363D1CCB" w14:textId="77777777" w:rsidR="00A83766" w:rsidRPr="006D2945" w:rsidRDefault="00A83766" w:rsidP="007F765B">
            <w:pPr>
              <w:rPr>
                <w:rFonts w:ascii="Arial" w:hAnsi="Arial" w:cs="Arial"/>
                <w:sz w:val="24"/>
                <w:szCs w:val="24"/>
              </w:rPr>
            </w:pPr>
            <w:r w:rsidRPr="006D2945">
              <w:rPr>
                <w:rFonts w:ascii="Arial" w:hAnsi="Arial" w:cs="Arial"/>
                <w:sz w:val="24"/>
                <w:szCs w:val="24"/>
              </w:rPr>
              <w:t xml:space="preserve">4.1.3 – Sanctions for Violation </w:t>
            </w:r>
          </w:p>
        </w:tc>
        <w:tc>
          <w:tcPr>
            <w:tcW w:w="6863" w:type="dxa"/>
          </w:tcPr>
          <w:p w14:paraId="6186769B" w14:textId="77777777" w:rsidR="00A83766" w:rsidRPr="006D2945" w:rsidRDefault="00A83766" w:rsidP="007F765B">
            <w:pPr>
              <w:rPr>
                <w:rFonts w:ascii="Arial" w:hAnsi="Arial" w:cs="Arial"/>
                <w:sz w:val="24"/>
                <w:szCs w:val="24"/>
              </w:rPr>
            </w:pPr>
            <w:r w:rsidRPr="006D2945">
              <w:rPr>
                <w:rFonts w:ascii="Arial" w:hAnsi="Arial" w:cs="Arial"/>
                <w:sz w:val="24"/>
                <w:szCs w:val="24"/>
              </w:rPr>
              <w:t>II. Policies and procedures must specify appropriate sanctions outlining what the consequences will be against any workforce member who improperly views, uses, or discloses health information.</w:t>
            </w:r>
          </w:p>
        </w:tc>
        <w:tc>
          <w:tcPr>
            <w:tcW w:w="1620" w:type="dxa"/>
          </w:tcPr>
          <w:p w14:paraId="7E80F07F" w14:textId="77777777" w:rsidR="00A83766" w:rsidRPr="006D2945" w:rsidRDefault="00A83766">
            <w:pPr>
              <w:rPr>
                <w:rFonts w:ascii="Arial" w:hAnsi="Arial" w:cs="Arial"/>
                <w:sz w:val="24"/>
                <w:szCs w:val="24"/>
              </w:rPr>
            </w:pPr>
          </w:p>
        </w:tc>
      </w:tr>
      <w:tr w:rsidR="00CB196F" w:rsidRPr="006D2945" w14:paraId="309CE5E1" w14:textId="77777777" w:rsidTr="00CB196F">
        <w:tc>
          <w:tcPr>
            <w:tcW w:w="2093" w:type="dxa"/>
          </w:tcPr>
          <w:p w14:paraId="3C62BDB3" w14:textId="2D14B21F" w:rsidR="00CB196F" w:rsidRDefault="00CB196F" w:rsidP="00CB196F">
            <w:pPr>
              <w:rPr>
                <w:rFonts w:ascii="Arial" w:hAnsi="Arial" w:cs="Arial"/>
                <w:sz w:val="24"/>
                <w:szCs w:val="24"/>
              </w:rPr>
            </w:pPr>
            <w:r>
              <w:rPr>
                <w:rFonts w:ascii="Arial" w:hAnsi="Arial" w:cs="Arial"/>
                <w:sz w:val="24"/>
                <w:szCs w:val="24"/>
              </w:rPr>
              <w:t>4.6.0 – Requirements for Specific Organizations</w:t>
            </w:r>
          </w:p>
        </w:tc>
        <w:tc>
          <w:tcPr>
            <w:tcW w:w="2317" w:type="dxa"/>
          </w:tcPr>
          <w:p w14:paraId="33144ED3" w14:textId="342F3B5C" w:rsidR="00CB196F" w:rsidRDefault="00CB196F" w:rsidP="005D1452">
            <w:pPr>
              <w:rPr>
                <w:rFonts w:ascii="Arial" w:hAnsi="Arial" w:cs="Arial"/>
                <w:sz w:val="24"/>
                <w:szCs w:val="24"/>
              </w:rPr>
            </w:pPr>
            <w:r>
              <w:rPr>
                <w:rFonts w:ascii="Arial" w:hAnsi="Arial" w:cs="Arial"/>
                <w:sz w:val="24"/>
                <w:szCs w:val="24"/>
              </w:rPr>
              <w:t>4.6.5 – Hybrid Entities</w:t>
            </w:r>
          </w:p>
        </w:tc>
        <w:tc>
          <w:tcPr>
            <w:tcW w:w="6863" w:type="dxa"/>
          </w:tcPr>
          <w:p w14:paraId="2D20C37A" w14:textId="52A6D599" w:rsidR="00CB196F" w:rsidRPr="006D2945" w:rsidRDefault="00CB196F" w:rsidP="00964CD9">
            <w:pPr>
              <w:rPr>
                <w:rFonts w:ascii="Arial" w:hAnsi="Arial" w:cs="Arial"/>
                <w:sz w:val="24"/>
                <w:szCs w:val="24"/>
              </w:rPr>
            </w:pPr>
            <w:r>
              <w:rPr>
                <w:rFonts w:ascii="Arial" w:hAnsi="Arial" w:cs="Arial"/>
                <w:sz w:val="24"/>
                <w:szCs w:val="24"/>
              </w:rPr>
              <w:t>II. Policies and procedures must be implemented and maintained which outline the requirement for Hybrid Entries to create and maintain adequate “firewalls” or separation between covered and non-covered healthcare components within their organization.</w:t>
            </w:r>
          </w:p>
        </w:tc>
        <w:tc>
          <w:tcPr>
            <w:tcW w:w="1620" w:type="dxa"/>
          </w:tcPr>
          <w:p w14:paraId="5CF7FC74" w14:textId="77777777" w:rsidR="00CB196F" w:rsidRPr="006D2945" w:rsidRDefault="00CB196F" w:rsidP="00964CD9">
            <w:pPr>
              <w:rPr>
                <w:rFonts w:ascii="Arial" w:hAnsi="Arial" w:cs="Arial"/>
                <w:sz w:val="24"/>
                <w:szCs w:val="24"/>
              </w:rPr>
            </w:pPr>
          </w:p>
        </w:tc>
      </w:tr>
      <w:tr w:rsidR="005D1452" w:rsidRPr="006D2945" w14:paraId="3AE4E837" w14:textId="77777777" w:rsidTr="00CB196F">
        <w:tc>
          <w:tcPr>
            <w:tcW w:w="2093" w:type="dxa"/>
          </w:tcPr>
          <w:p w14:paraId="20A2C1E2" w14:textId="743315ED" w:rsidR="005D1452" w:rsidRPr="006D2945" w:rsidRDefault="005D1452" w:rsidP="00C73B67">
            <w:pPr>
              <w:rPr>
                <w:rFonts w:ascii="Arial" w:hAnsi="Arial" w:cs="Arial"/>
                <w:sz w:val="24"/>
                <w:szCs w:val="24"/>
              </w:rPr>
            </w:pPr>
            <w:r>
              <w:rPr>
                <w:rFonts w:ascii="Arial" w:hAnsi="Arial" w:cs="Arial"/>
                <w:sz w:val="24"/>
                <w:szCs w:val="24"/>
              </w:rPr>
              <w:t>5.1</w:t>
            </w:r>
            <w:r w:rsidRPr="006D2945">
              <w:rPr>
                <w:rFonts w:ascii="Arial" w:hAnsi="Arial" w:cs="Arial"/>
                <w:sz w:val="24"/>
                <w:szCs w:val="24"/>
              </w:rPr>
              <w:t>.0 – A</w:t>
            </w:r>
            <w:r>
              <w:rPr>
                <w:rFonts w:ascii="Arial" w:hAnsi="Arial" w:cs="Arial"/>
                <w:sz w:val="24"/>
                <w:szCs w:val="24"/>
              </w:rPr>
              <w:t>ccounting of Disclosures</w:t>
            </w:r>
          </w:p>
        </w:tc>
        <w:tc>
          <w:tcPr>
            <w:tcW w:w="2317" w:type="dxa"/>
          </w:tcPr>
          <w:p w14:paraId="1EF4C79B" w14:textId="77777777" w:rsidR="005D1452" w:rsidRPr="006D2945" w:rsidRDefault="005D1452" w:rsidP="005D1452">
            <w:pPr>
              <w:rPr>
                <w:rFonts w:ascii="Arial" w:hAnsi="Arial" w:cs="Arial"/>
                <w:sz w:val="24"/>
                <w:szCs w:val="24"/>
              </w:rPr>
            </w:pPr>
            <w:r>
              <w:rPr>
                <w:rFonts w:ascii="Arial" w:hAnsi="Arial" w:cs="Arial"/>
                <w:sz w:val="24"/>
                <w:szCs w:val="24"/>
              </w:rPr>
              <w:t>5.1.1 – Accounting of Disclosures</w:t>
            </w:r>
          </w:p>
        </w:tc>
        <w:tc>
          <w:tcPr>
            <w:tcW w:w="6863" w:type="dxa"/>
          </w:tcPr>
          <w:p w14:paraId="2F9A4A3E" w14:textId="34492FC2" w:rsidR="005D1452" w:rsidRPr="006D2945" w:rsidRDefault="005D1452" w:rsidP="00964CD9">
            <w:pPr>
              <w:rPr>
                <w:rFonts w:ascii="Arial" w:hAnsi="Arial" w:cs="Arial"/>
                <w:sz w:val="24"/>
                <w:szCs w:val="24"/>
              </w:rPr>
            </w:pPr>
            <w:r w:rsidRPr="006D2945">
              <w:rPr>
                <w:rFonts w:ascii="Arial" w:hAnsi="Arial" w:cs="Arial"/>
                <w:sz w:val="24"/>
                <w:szCs w:val="24"/>
              </w:rPr>
              <w:t>III. A. State entities are responsible to create</w:t>
            </w:r>
            <w:r w:rsidR="005D29FF">
              <w:rPr>
                <w:rFonts w:ascii="Arial" w:hAnsi="Arial" w:cs="Arial"/>
                <w:sz w:val="24"/>
                <w:szCs w:val="24"/>
              </w:rPr>
              <w:t>, implement,</w:t>
            </w:r>
            <w:r w:rsidRPr="006D2945">
              <w:rPr>
                <w:rFonts w:ascii="Arial" w:hAnsi="Arial" w:cs="Arial"/>
                <w:sz w:val="24"/>
                <w:szCs w:val="24"/>
              </w:rPr>
              <w:t xml:space="preserve"> and maintain policies and procedures stating how to process and document </w:t>
            </w:r>
            <w:r w:rsidRPr="009B5039">
              <w:rPr>
                <w:rFonts w:ascii="Arial" w:hAnsi="Arial" w:cs="Arial"/>
                <w:sz w:val="24"/>
                <w:szCs w:val="24"/>
              </w:rPr>
              <w:t>disclosures of health information as well as patient requests for an accounting of disclosure</w:t>
            </w:r>
            <w:r>
              <w:rPr>
                <w:rFonts w:ascii="Arial" w:hAnsi="Arial" w:cs="Arial"/>
                <w:sz w:val="24"/>
                <w:szCs w:val="24"/>
              </w:rPr>
              <w:t>.</w:t>
            </w:r>
          </w:p>
        </w:tc>
        <w:tc>
          <w:tcPr>
            <w:tcW w:w="1620" w:type="dxa"/>
          </w:tcPr>
          <w:p w14:paraId="4D1F0A8F" w14:textId="77777777" w:rsidR="005D1452" w:rsidRPr="006D2945" w:rsidRDefault="005D1452" w:rsidP="00964CD9">
            <w:pPr>
              <w:rPr>
                <w:rFonts w:ascii="Arial" w:hAnsi="Arial" w:cs="Arial"/>
                <w:sz w:val="24"/>
                <w:szCs w:val="24"/>
              </w:rPr>
            </w:pPr>
          </w:p>
        </w:tc>
      </w:tr>
      <w:tr w:rsidR="001C1862" w:rsidRPr="006D2945" w14:paraId="3F6039BB" w14:textId="77777777" w:rsidTr="00C63FF7">
        <w:trPr>
          <w:cantSplit/>
        </w:trPr>
        <w:tc>
          <w:tcPr>
            <w:tcW w:w="2093" w:type="dxa"/>
          </w:tcPr>
          <w:p w14:paraId="68198EC5" w14:textId="4A2C8C7B" w:rsidR="001C1862" w:rsidRPr="006D2945" w:rsidRDefault="001C1862" w:rsidP="00C73B67">
            <w:pPr>
              <w:rPr>
                <w:rFonts w:ascii="Arial" w:hAnsi="Arial" w:cs="Arial"/>
                <w:sz w:val="24"/>
                <w:szCs w:val="24"/>
              </w:rPr>
            </w:pPr>
            <w:r w:rsidRPr="006D2945">
              <w:rPr>
                <w:rFonts w:ascii="Arial" w:hAnsi="Arial" w:cs="Arial"/>
                <w:sz w:val="24"/>
                <w:szCs w:val="24"/>
              </w:rPr>
              <w:t>5.2.0 – Amendments</w:t>
            </w:r>
          </w:p>
        </w:tc>
        <w:tc>
          <w:tcPr>
            <w:tcW w:w="2317" w:type="dxa"/>
          </w:tcPr>
          <w:p w14:paraId="3787084A" w14:textId="77777777" w:rsidR="001C1862" w:rsidRPr="006D2945" w:rsidRDefault="001C1862" w:rsidP="007F765B">
            <w:pPr>
              <w:rPr>
                <w:rFonts w:ascii="Arial" w:hAnsi="Arial" w:cs="Arial"/>
                <w:sz w:val="24"/>
                <w:szCs w:val="24"/>
              </w:rPr>
            </w:pPr>
            <w:r w:rsidRPr="006D2945">
              <w:rPr>
                <w:rFonts w:ascii="Arial" w:hAnsi="Arial" w:cs="Arial"/>
                <w:sz w:val="24"/>
                <w:szCs w:val="24"/>
              </w:rPr>
              <w:t xml:space="preserve">5.2.1 – </w:t>
            </w:r>
            <w:r w:rsidR="00FA05DA">
              <w:rPr>
                <w:rFonts w:ascii="Arial" w:hAnsi="Arial" w:cs="Arial"/>
                <w:sz w:val="24"/>
                <w:szCs w:val="24"/>
              </w:rPr>
              <w:t>Patient’s (Individual’s) Right to Amend Medical Records</w:t>
            </w:r>
          </w:p>
        </w:tc>
        <w:tc>
          <w:tcPr>
            <w:tcW w:w="6863" w:type="dxa"/>
          </w:tcPr>
          <w:p w14:paraId="5255C7DD" w14:textId="2A1617DD" w:rsidR="001C1862" w:rsidRPr="006D2945" w:rsidRDefault="001C1862" w:rsidP="0079585E">
            <w:pPr>
              <w:rPr>
                <w:rFonts w:ascii="Arial" w:hAnsi="Arial" w:cs="Arial"/>
                <w:sz w:val="24"/>
                <w:szCs w:val="24"/>
              </w:rPr>
            </w:pPr>
            <w:r w:rsidRPr="006D2945">
              <w:rPr>
                <w:rFonts w:ascii="Arial" w:hAnsi="Arial" w:cs="Arial"/>
                <w:sz w:val="24"/>
                <w:szCs w:val="24"/>
              </w:rPr>
              <w:t>III. A. State entities are responsible to create</w:t>
            </w:r>
            <w:r w:rsidR="00C63FF7">
              <w:rPr>
                <w:rFonts w:ascii="Arial" w:hAnsi="Arial" w:cs="Arial"/>
                <w:sz w:val="24"/>
                <w:szCs w:val="24"/>
              </w:rPr>
              <w:t>, implement,</w:t>
            </w:r>
            <w:r w:rsidRPr="006D2945">
              <w:rPr>
                <w:rFonts w:ascii="Arial" w:hAnsi="Arial" w:cs="Arial"/>
                <w:sz w:val="24"/>
                <w:szCs w:val="24"/>
              </w:rPr>
              <w:t xml:space="preserve"> and maintain policies and procedures stating how to process and document patient requests for amendment to their medical records.</w:t>
            </w:r>
          </w:p>
        </w:tc>
        <w:tc>
          <w:tcPr>
            <w:tcW w:w="1620" w:type="dxa"/>
          </w:tcPr>
          <w:p w14:paraId="3FE13FFA" w14:textId="77777777" w:rsidR="001C1862" w:rsidRPr="006D2945" w:rsidRDefault="001C1862">
            <w:pPr>
              <w:rPr>
                <w:rFonts w:ascii="Arial" w:hAnsi="Arial" w:cs="Arial"/>
                <w:sz w:val="24"/>
                <w:szCs w:val="24"/>
              </w:rPr>
            </w:pPr>
          </w:p>
        </w:tc>
      </w:tr>
      <w:tr w:rsidR="001C1862" w:rsidRPr="006D2945" w14:paraId="7A8F3042" w14:textId="77777777" w:rsidTr="00CB196F">
        <w:trPr>
          <w:cantSplit/>
        </w:trPr>
        <w:tc>
          <w:tcPr>
            <w:tcW w:w="2093" w:type="dxa"/>
          </w:tcPr>
          <w:p w14:paraId="69938197" w14:textId="2C9E3036" w:rsidR="001C1862" w:rsidRPr="006D2945" w:rsidRDefault="001C1862" w:rsidP="0079585E">
            <w:pPr>
              <w:rPr>
                <w:rFonts w:ascii="Arial" w:hAnsi="Arial" w:cs="Arial"/>
                <w:sz w:val="24"/>
                <w:szCs w:val="24"/>
              </w:rPr>
            </w:pPr>
            <w:r w:rsidRPr="006D2945">
              <w:rPr>
                <w:rFonts w:ascii="Arial" w:hAnsi="Arial" w:cs="Arial"/>
                <w:sz w:val="24"/>
                <w:szCs w:val="24"/>
              </w:rPr>
              <w:t>5.4.0 – Patient Rights - Access</w:t>
            </w:r>
          </w:p>
        </w:tc>
        <w:tc>
          <w:tcPr>
            <w:tcW w:w="2317" w:type="dxa"/>
          </w:tcPr>
          <w:p w14:paraId="5ADF62B5" w14:textId="4BAC4090" w:rsidR="001C1862" w:rsidRPr="006D2945" w:rsidRDefault="001C1862" w:rsidP="00FA05DA">
            <w:pPr>
              <w:rPr>
                <w:rFonts w:ascii="Arial" w:hAnsi="Arial" w:cs="Arial"/>
                <w:sz w:val="24"/>
                <w:szCs w:val="24"/>
              </w:rPr>
            </w:pPr>
            <w:r w:rsidRPr="006D2945">
              <w:rPr>
                <w:rFonts w:ascii="Arial" w:hAnsi="Arial" w:cs="Arial"/>
                <w:sz w:val="24"/>
                <w:szCs w:val="24"/>
              </w:rPr>
              <w:t xml:space="preserve">5.4.1 – </w:t>
            </w:r>
            <w:r w:rsidR="00FA05DA">
              <w:rPr>
                <w:rFonts w:ascii="Arial" w:hAnsi="Arial" w:cs="Arial"/>
                <w:sz w:val="24"/>
                <w:szCs w:val="24"/>
              </w:rPr>
              <w:t xml:space="preserve">Patient’s (Individual’s) </w:t>
            </w:r>
            <w:r w:rsidRPr="006D2945">
              <w:rPr>
                <w:rFonts w:ascii="Arial" w:hAnsi="Arial" w:cs="Arial"/>
                <w:sz w:val="24"/>
                <w:szCs w:val="24"/>
              </w:rPr>
              <w:t>Right</w:t>
            </w:r>
            <w:r w:rsidR="00FA05DA">
              <w:rPr>
                <w:rFonts w:ascii="Arial" w:hAnsi="Arial" w:cs="Arial"/>
                <w:sz w:val="24"/>
                <w:szCs w:val="24"/>
              </w:rPr>
              <w:t xml:space="preserve"> to</w:t>
            </w:r>
            <w:r w:rsidRPr="006D2945">
              <w:rPr>
                <w:rFonts w:ascii="Arial" w:hAnsi="Arial" w:cs="Arial"/>
                <w:sz w:val="24"/>
                <w:szCs w:val="24"/>
              </w:rPr>
              <w:t xml:space="preserve"> Access</w:t>
            </w:r>
            <w:r w:rsidR="00FA05DA">
              <w:rPr>
                <w:rFonts w:ascii="Arial" w:hAnsi="Arial" w:cs="Arial"/>
                <w:sz w:val="24"/>
                <w:szCs w:val="24"/>
              </w:rPr>
              <w:t xml:space="preserve"> Health Information</w:t>
            </w:r>
          </w:p>
        </w:tc>
        <w:tc>
          <w:tcPr>
            <w:tcW w:w="6863" w:type="dxa"/>
          </w:tcPr>
          <w:p w14:paraId="4D2B9F8F" w14:textId="2A35AFF4" w:rsidR="001C1862" w:rsidRPr="006D2945" w:rsidRDefault="001C1862" w:rsidP="00C63FF7">
            <w:pPr>
              <w:rPr>
                <w:rFonts w:ascii="Arial" w:hAnsi="Arial" w:cs="Arial"/>
                <w:sz w:val="24"/>
                <w:szCs w:val="24"/>
              </w:rPr>
            </w:pPr>
            <w:r w:rsidRPr="006D2945">
              <w:rPr>
                <w:rFonts w:ascii="Arial" w:hAnsi="Arial" w:cs="Arial"/>
                <w:sz w:val="24"/>
                <w:szCs w:val="24"/>
              </w:rPr>
              <w:t xml:space="preserve">III. </w:t>
            </w:r>
            <w:r w:rsidR="00C63FF7">
              <w:rPr>
                <w:rFonts w:ascii="Arial" w:hAnsi="Arial" w:cs="Arial"/>
                <w:sz w:val="24"/>
                <w:szCs w:val="24"/>
              </w:rPr>
              <w:t>F. 1. State entities are responsible to implement policies and procedures.</w:t>
            </w:r>
          </w:p>
        </w:tc>
        <w:tc>
          <w:tcPr>
            <w:tcW w:w="1620" w:type="dxa"/>
          </w:tcPr>
          <w:p w14:paraId="1D950FE3" w14:textId="77777777" w:rsidR="001C1862" w:rsidRPr="006D2945" w:rsidRDefault="001C1862">
            <w:pPr>
              <w:rPr>
                <w:rFonts w:ascii="Arial" w:hAnsi="Arial" w:cs="Arial"/>
                <w:sz w:val="24"/>
                <w:szCs w:val="24"/>
              </w:rPr>
            </w:pPr>
          </w:p>
        </w:tc>
      </w:tr>
    </w:tbl>
    <w:p w14:paraId="7B492C43" w14:textId="77777777" w:rsidR="00276A17" w:rsidRPr="00C73B67" w:rsidRDefault="00276A17">
      <w:pPr>
        <w:rPr>
          <w:rFonts w:ascii="Arial" w:hAnsi="Arial" w:cs="Arial"/>
          <w:sz w:val="2"/>
          <w:szCs w:val="2"/>
        </w:rPr>
      </w:pPr>
    </w:p>
    <w:sectPr w:rsidR="00276A17" w:rsidRPr="00C73B67" w:rsidSect="00033C23">
      <w:headerReference w:type="default" r:id="rId13"/>
      <w:footerReference w:type="default" r:id="rId14"/>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F273" w14:textId="77777777" w:rsidR="00B8202C" w:rsidRDefault="00B8202C" w:rsidP="00673FCB">
      <w:pPr>
        <w:spacing w:after="0" w:line="240" w:lineRule="auto"/>
      </w:pPr>
      <w:r>
        <w:separator/>
      </w:r>
    </w:p>
  </w:endnote>
  <w:endnote w:type="continuationSeparator" w:id="0">
    <w:p w14:paraId="52C919BC" w14:textId="77777777" w:rsidR="00B8202C" w:rsidRDefault="00B8202C" w:rsidP="00673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0CCF" w14:textId="1F8FB894" w:rsidR="00C4289F" w:rsidRPr="00C77C52" w:rsidRDefault="00FA05DA" w:rsidP="00C77C5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Updated </w:t>
    </w:r>
    <w:r w:rsidR="00A83766">
      <w:rPr>
        <w:rFonts w:asciiTheme="majorHAnsi" w:eastAsiaTheme="majorEastAsia" w:hAnsiTheme="majorHAnsi" w:cstheme="majorBidi"/>
      </w:rPr>
      <w:t>06/</w:t>
    </w:r>
    <w:r w:rsidR="00B21AAB">
      <w:rPr>
        <w:rFonts w:asciiTheme="majorHAnsi" w:eastAsiaTheme="majorEastAsia" w:hAnsiTheme="majorHAnsi" w:cstheme="majorBidi"/>
      </w:rPr>
      <w:t>202</w:t>
    </w:r>
    <w:r w:rsidR="00AF1B18">
      <w:rPr>
        <w:rFonts w:asciiTheme="majorHAnsi" w:eastAsiaTheme="majorEastAsia" w:hAnsiTheme="majorHAnsi" w:cstheme="majorBidi"/>
      </w:rPr>
      <w:t>3</w:t>
    </w:r>
    <w:r w:rsidR="00C4289F">
      <w:rPr>
        <w:rFonts w:asciiTheme="majorHAnsi" w:eastAsiaTheme="majorEastAsia" w:hAnsiTheme="majorHAnsi" w:cstheme="majorBidi"/>
      </w:rPr>
      <w:ptab w:relativeTo="margin" w:alignment="right" w:leader="none"/>
    </w:r>
    <w:r w:rsidR="00C4289F">
      <w:rPr>
        <w:rFonts w:asciiTheme="majorHAnsi" w:eastAsiaTheme="majorEastAsia" w:hAnsiTheme="majorHAnsi" w:cstheme="majorBidi"/>
      </w:rPr>
      <w:t xml:space="preserve">Page </w:t>
    </w:r>
    <w:r w:rsidR="00C4289F">
      <w:rPr>
        <w:rFonts w:eastAsiaTheme="minorEastAsia"/>
      </w:rPr>
      <w:fldChar w:fldCharType="begin"/>
    </w:r>
    <w:r w:rsidR="00C4289F">
      <w:instrText xml:space="preserve"> PAGE   \* MERGEFORMAT </w:instrText>
    </w:r>
    <w:r w:rsidR="00C4289F">
      <w:rPr>
        <w:rFonts w:eastAsiaTheme="minorEastAsia"/>
      </w:rPr>
      <w:fldChar w:fldCharType="separate"/>
    </w:r>
    <w:r w:rsidR="000A095F" w:rsidRPr="000A095F">
      <w:rPr>
        <w:rFonts w:asciiTheme="majorHAnsi" w:eastAsiaTheme="majorEastAsia" w:hAnsiTheme="majorHAnsi" w:cstheme="majorBidi"/>
        <w:noProof/>
      </w:rPr>
      <w:t>9</w:t>
    </w:r>
    <w:r w:rsidR="00C4289F">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B28B" w14:textId="05DC0015" w:rsidR="00C73B67" w:rsidRPr="00C73B67" w:rsidRDefault="00C73B67" w:rsidP="00C73B6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Updated 06/2023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1</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3932" w14:textId="77777777" w:rsidR="00B8202C" w:rsidRDefault="00B8202C" w:rsidP="00673FCB">
      <w:pPr>
        <w:spacing w:after="0" w:line="240" w:lineRule="auto"/>
      </w:pPr>
      <w:r>
        <w:separator/>
      </w:r>
    </w:p>
  </w:footnote>
  <w:footnote w:type="continuationSeparator" w:id="0">
    <w:p w14:paraId="39B90D8C" w14:textId="77777777" w:rsidR="00B8202C" w:rsidRDefault="00B8202C" w:rsidP="00673FCB">
      <w:pPr>
        <w:spacing w:after="0" w:line="240" w:lineRule="auto"/>
      </w:pPr>
      <w:r>
        <w:continuationSeparator/>
      </w:r>
    </w:p>
  </w:footnote>
  <w:footnote w:id="1">
    <w:p w14:paraId="4FA2DDC6" w14:textId="77777777" w:rsidR="001C1862" w:rsidRDefault="001C1862">
      <w:pPr>
        <w:pStyle w:val="FootnoteText"/>
      </w:pPr>
      <w:r>
        <w:rPr>
          <w:rStyle w:val="FootnoteReference"/>
        </w:rPr>
        <w:footnoteRef/>
      </w:r>
      <w:r>
        <w:t xml:space="preserve"> </w:t>
      </w:r>
      <w:r w:rsidR="006D2945">
        <w:t xml:space="preserve">Note – this column provides the SHIPM policy reference (either </w:t>
      </w:r>
      <w:r>
        <w:t>II. Policy or III. Implementation Specifics</w:t>
      </w:r>
      <w:r w:rsidR="006D2945">
        <w:t>) along with the policy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E6C5" w14:textId="6F035FBC" w:rsidR="00C4289F" w:rsidRDefault="005C4A4D" w:rsidP="00C77C52">
    <w:pPr>
      <w:pStyle w:val="Header"/>
      <w:pBdr>
        <w:bottom w:val="thickThinSmallGap" w:sz="24" w:space="1" w:color="622423" w:themeColor="accent2" w:themeShade="7F"/>
      </w:pBdr>
      <w:tabs>
        <w:tab w:val="clear" w:pos="4680"/>
        <w:tab w:val="clear" w:pos="9360"/>
        <w:tab w:val="left" w:pos="3690"/>
        <w:tab w:val="left" w:pos="11070"/>
      </w:tabs>
    </w:pPr>
    <w:r>
      <w:rPr>
        <w:rFonts w:asciiTheme="majorHAnsi" w:eastAsiaTheme="majorEastAsia" w:hAnsiTheme="majorHAnsi" w:cstheme="majorBidi"/>
        <w:sz w:val="32"/>
        <w:szCs w:val="32"/>
      </w:rPr>
      <w:tab/>
    </w:r>
    <w:r w:rsidR="00C77C52" w:rsidRPr="00C77C52">
      <w:rPr>
        <w:rFonts w:asciiTheme="majorHAnsi" w:eastAsiaTheme="majorEastAsia" w:hAnsiTheme="majorHAnsi" w:cstheme="majorBidi"/>
        <w:sz w:val="32"/>
        <w:szCs w:val="32"/>
      </w:rPr>
      <w:t>SHIPM Required Policies and Procedures</w:t>
    </w:r>
    <w:r>
      <w:rPr>
        <w:rFonts w:asciiTheme="majorHAnsi" w:eastAsiaTheme="majorEastAsia" w:hAnsiTheme="majorHAnsi" w:cstheme="majorBidi"/>
        <w:sz w:val="32"/>
        <w:szCs w:val="32"/>
      </w:rPr>
      <w:tab/>
    </w:r>
    <w:r w:rsidR="000A095F">
      <w:rPr>
        <w:rFonts w:ascii="Calibri" w:eastAsia="Times New Roman" w:hAnsi="Calibri" w:cs="Calibri"/>
        <w:noProof/>
        <w:color w:val="000000"/>
        <w:shd w:val="clear" w:color="auto" w:fill="FFFFFF"/>
      </w:rPr>
      <w:drawing>
        <wp:inline distT="0" distB="0" distL="0" distR="0" wp14:anchorId="5B5DB657" wp14:editId="10038A37">
          <wp:extent cx="1139560" cy="463550"/>
          <wp:effectExtent l="0" t="0" r="3810" b="0"/>
          <wp:docPr id="1" name="Picture 1" descr="Center for Data Insights and Innovation (California Health &amp;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enter for Data Insights and Innovation (California Health &amp; Human Services Agency)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6338" cy="4663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6C72"/>
    <w:multiLevelType w:val="hybridMultilevel"/>
    <w:tmpl w:val="5456E5C6"/>
    <w:lvl w:ilvl="0" w:tplc="04090009">
      <w:start w:val="1"/>
      <w:numFmt w:val="bullet"/>
      <w:lvlText w:val=""/>
      <w:lvlJc w:val="left"/>
      <w:pPr>
        <w:ind w:left="115" w:hanging="360"/>
      </w:pPr>
      <w:rPr>
        <w:rFonts w:ascii="Wingdings" w:hAnsi="Wingdings" w:hint="default"/>
        <w:b w:val="0"/>
        <w:i w:val="0"/>
      </w:rPr>
    </w:lvl>
    <w:lvl w:ilvl="1" w:tplc="04090003" w:tentative="1">
      <w:start w:val="1"/>
      <w:numFmt w:val="bullet"/>
      <w:lvlText w:val="o"/>
      <w:lvlJc w:val="left"/>
      <w:pPr>
        <w:ind w:left="835" w:hanging="360"/>
      </w:pPr>
      <w:rPr>
        <w:rFonts w:ascii="Courier New" w:hAnsi="Courier New" w:cs="Courier New" w:hint="default"/>
      </w:rPr>
    </w:lvl>
    <w:lvl w:ilvl="2" w:tplc="04090005" w:tentative="1">
      <w:start w:val="1"/>
      <w:numFmt w:val="bullet"/>
      <w:lvlText w:val=""/>
      <w:lvlJc w:val="left"/>
      <w:pPr>
        <w:ind w:left="1555" w:hanging="360"/>
      </w:pPr>
      <w:rPr>
        <w:rFonts w:ascii="Wingdings" w:hAnsi="Wingdings" w:hint="default"/>
      </w:rPr>
    </w:lvl>
    <w:lvl w:ilvl="3" w:tplc="04090001" w:tentative="1">
      <w:start w:val="1"/>
      <w:numFmt w:val="bullet"/>
      <w:lvlText w:val=""/>
      <w:lvlJc w:val="left"/>
      <w:pPr>
        <w:ind w:left="2275" w:hanging="360"/>
      </w:pPr>
      <w:rPr>
        <w:rFonts w:ascii="Symbol" w:hAnsi="Symbol" w:hint="default"/>
      </w:rPr>
    </w:lvl>
    <w:lvl w:ilvl="4" w:tplc="04090003" w:tentative="1">
      <w:start w:val="1"/>
      <w:numFmt w:val="bullet"/>
      <w:lvlText w:val="o"/>
      <w:lvlJc w:val="left"/>
      <w:pPr>
        <w:ind w:left="2995" w:hanging="360"/>
      </w:pPr>
      <w:rPr>
        <w:rFonts w:ascii="Courier New" w:hAnsi="Courier New" w:cs="Courier New" w:hint="default"/>
      </w:rPr>
    </w:lvl>
    <w:lvl w:ilvl="5" w:tplc="04090005" w:tentative="1">
      <w:start w:val="1"/>
      <w:numFmt w:val="bullet"/>
      <w:lvlText w:val=""/>
      <w:lvlJc w:val="left"/>
      <w:pPr>
        <w:ind w:left="3715" w:hanging="360"/>
      </w:pPr>
      <w:rPr>
        <w:rFonts w:ascii="Wingdings" w:hAnsi="Wingdings" w:hint="default"/>
      </w:rPr>
    </w:lvl>
    <w:lvl w:ilvl="6" w:tplc="04090001" w:tentative="1">
      <w:start w:val="1"/>
      <w:numFmt w:val="bullet"/>
      <w:lvlText w:val=""/>
      <w:lvlJc w:val="left"/>
      <w:pPr>
        <w:ind w:left="4435" w:hanging="360"/>
      </w:pPr>
      <w:rPr>
        <w:rFonts w:ascii="Symbol" w:hAnsi="Symbol" w:hint="default"/>
      </w:rPr>
    </w:lvl>
    <w:lvl w:ilvl="7" w:tplc="04090003" w:tentative="1">
      <w:start w:val="1"/>
      <w:numFmt w:val="bullet"/>
      <w:lvlText w:val="o"/>
      <w:lvlJc w:val="left"/>
      <w:pPr>
        <w:ind w:left="5155" w:hanging="360"/>
      </w:pPr>
      <w:rPr>
        <w:rFonts w:ascii="Courier New" w:hAnsi="Courier New" w:cs="Courier New" w:hint="default"/>
      </w:rPr>
    </w:lvl>
    <w:lvl w:ilvl="8" w:tplc="04090005" w:tentative="1">
      <w:start w:val="1"/>
      <w:numFmt w:val="bullet"/>
      <w:lvlText w:val=""/>
      <w:lvlJc w:val="left"/>
      <w:pPr>
        <w:ind w:left="5875" w:hanging="360"/>
      </w:pPr>
      <w:rPr>
        <w:rFonts w:ascii="Wingdings" w:hAnsi="Wingdings" w:hint="default"/>
      </w:rPr>
    </w:lvl>
  </w:abstractNum>
  <w:abstractNum w:abstractNumId="1" w15:restartNumberingAfterBreak="0">
    <w:nsid w:val="6EAB5604"/>
    <w:multiLevelType w:val="hybridMultilevel"/>
    <w:tmpl w:val="370425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7C63763"/>
    <w:multiLevelType w:val="hybridMultilevel"/>
    <w:tmpl w:val="03646702"/>
    <w:lvl w:ilvl="0" w:tplc="582AA84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829742">
    <w:abstractNumId w:val="1"/>
  </w:num>
  <w:num w:numId="2" w16cid:durableId="764302171">
    <w:abstractNumId w:val="0"/>
  </w:num>
  <w:num w:numId="3" w16cid:durableId="1653873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6B"/>
    <w:rsid w:val="00033C23"/>
    <w:rsid w:val="00061E0A"/>
    <w:rsid w:val="00071F2F"/>
    <w:rsid w:val="00084171"/>
    <w:rsid w:val="000A095F"/>
    <w:rsid w:val="00116B67"/>
    <w:rsid w:val="001778A2"/>
    <w:rsid w:val="001A14D8"/>
    <w:rsid w:val="001C1862"/>
    <w:rsid w:val="00233A2C"/>
    <w:rsid w:val="00276A17"/>
    <w:rsid w:val="0029110F"/>
    <w:rsid w:val="002A4887"/>
    <w:rsid w:val="002C7171"/>
    <w:rsid w:val="003049A1"/>
    <w:rsid w:val="00314883"/>
    <w:rsid w:val="00320629"/>
    <w:rsid w:val="003371C2"/>
    <w:rsid w:val="0035029E"/>
    <w:rsid w:val="00354316"/>
    <w:rsid w:val="003D3860"/>
    <w:rsid w:val="003D4BF2"/>
    <w:rsid w:val="003E69DF"/>
    <w:rsid w:val="003E72A6"/>
    <w:rsid w:val="00400778"/>
    <w:rsid w:val="0041400D"/>
    <w:rsid w:val="00414ADD"/>
    <w:rsid w:val="004C28BC"/>
    <w:rsid w:val="004E14D3"/>
    <w:rsid w:val="004E4FF0"/>
    <w:rsid w:val="004F66F0"/>
    <w:rsid w:val="00507F67"/>
    <w:rsid w:val="005574E3"/>
    <w:rsid w:val="00577C6C"/>
    <w:rsid w:val="00584431"/>
    <w:rsid w:val="005B6D97"/>
    <w:rsid w:val="005C4A4D"/>
    <w:rsid w:val="005D11A5"/>
    <w:rsid w:val="005D1452"/>
    <w:rsid w:val="005D29FF"/>
    <w:rsid w:val="005F5AF8"/>
    <w:rsid w:val="0066035D"/>
    <w:rsid w:val="00673FCB"/>
    <w:rsid w:val="00683F9C"/>
    <w:rsid w:val="006911F5"/>
    <w:rsid w:val="006B6716"/>
    <w:rsid w:val="006C366B"/>
    <w:rsid w:val="006C6DDF"/>
    <w:rsid w:val="006C71E8"/>
    <w:rsid w:val="006D2945"/>
    <w:rsid w:val="006F2DC6"/>
    <w:rsid w:val="00702B32"/>
    <w:rsid w:val="007038E2"/>
    <w:rsid w:val="00713A63"/>
    <w:rsid w:val="00730E4F"/>
    <w:rsid w:val="00746D8D"/>
    <w:rsid w:val="007568C2"/>
    <w:rsid w:val="00776A57"/>
    <w:rsid w:val="00777D76"/>
    <w:rsid w:val="0079585E"/>
    <w:rsid w:val="007C0BCB"/>
    <w:rsid w:val="007F3283"/>
    <w:rsid w:val="007F61BA"/>
    <w:rsid w:val="007F765B"/>
    <w:rsid w:val="00835A2C"/>
    <w:rsid w:val="00867CEF"/>
    <w:rsid w:val="00880F1A"/>
    <w:rsid w:val="008E1568"/>
    <w:rsid w:val="009047D3"/>
    <w:rsid w:val="00942E98"/>
    <w:rsid w:val="00985345"/>
    <w:rsid w:val="009A2E18"/>
    <w:rsid w:val="009B5039"/>
    <w:rsid w:val="009E0E52"/>
    <w:rsid w:val="009F47B8"/>
    <w:rsid w:val="00A04689"/>
    <w:rsid w:val="00A71B2C"/>
    <w:rsid w:val="00A73942"/>
    <w:rsid w:val="00A83766"/>
    <w:rsid w:val="00A9516D"/>
    <w:rsid w:val="00AC132A"/>
    <w:rsid w:val="00AC5F3D"/>
    <w:rsid w:val="00AF1B18"/>
    <w:rsid w:val="00B21AAB"/>
    <w:rsid w:val="00B8202C"/>
    <w:rsid w:val="00B83EA8"/>
    <w:rsid w:val="00C20644"/>
    <w:rsid w:val="00C240FD"/>
    <w:rsid w:val="00C41863"/>
    <w:rsid w:val="00C4289F"/>
    <w:rsid w:val="00C63FF7"/>
    <w:rsid w:val="00C73B67"/>
    <w:rsid w:val="00C77C52"/>
    <w:rsid w:val="00C960E2"/>
    <w:rsid w:val="00CB196F"/>
    <w:rsid w:val="00D52206"/>
    <w:rsid w:val="00D81F7F"/>
    <w:rsid w:val="00D94A2A"/>
    <w:rsid w:val="00DE0207"/>
    <w:rsid w:val="00E0465C"/>
    <w:rsid w:val="00E37675"/>
    <w:rsid w:val="00E76505"/>
    <w:rsid w:val="00EB2BC3"/>
    <w:rsid w:val="00EB78BD"/>
    <w:rsid w:val="00EF282F"/>
    <w:rsid w:val="00F10D34"/>
    <w:rsid w:val="00F1360C"/>
    <w:rsid w:val="00F14DDA"/>
    <w:rsid w:val="00F22D14"/>
    <w:rsid w:val="00F62427"/>
    <w:rsid w:val="00F93F2D"/>
    <w:rsid w:val="00FA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72B5F"/>
  <w15:docId w15:val="{E38C1106-3CD6-4C15-A598-5482F4C0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C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66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673F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FCB"/>
    <w:rPr>
      <w:sz w:val="20"/>
      <w:szCs w:val="20"/>
    </w:rPr>
  </w:style>
  <w:style w:type="character" w:styleId="FootnoteReference">
    <w:name w:val="footnote reference"/>
    <w:basedOn w:val="DefaultParagraphFont"/>
    <w:uiPriority w:val="99"/>
    <w:semiHidden/>
    <w:unhideWhenUsed/>
    <w:rsid w:val="00673FCB"/>
    <w:rPr>
      <w:vertAlign w:val="superscript"/>
    </w:rPr>
  </w:style>
  <w:style w:type="character" w:styleId="CommentReference">
    <w:name w:val="annotation reference"/>
    <w:basedOn w:val="DefaultParagraphFont"/>
    <w:uiPriority w:val="99"/>
    <w:semiHidden/>
    <w:unhideWhenUsed/>
    <w:rsid w:val="00577C6C"/>
    <w:rPr>
      <w:sz w:val="16"/>
      <w:szCs w:val="16"/>
    </w:rPr>
  </w:style>
  <w:style w:type="paragraph" w:styleId="CommentText">
    <w:name w:val="annotation text"/>
    <w:basedOn w:val="Normal"/>
    <w:link w:val="CommentTextChar"/>
    <w:uiPriority w:val="99"/>
    <w:unhideWhenUsed/>
    <w:rsid w:val="00577C6C"/>
    <w:pPr>
      <w:spacing w:line="240" w:lineRule="auto"/>
    </w:pPr>
    <w:rPr>
      <w:sz w:val="20"/>
      <w:szCs w:val="20"/>
    </w:rPr>
  </w:style>
  <w:style w:type="character" w:customStyle="1" w:styleId="CommentTextChar">
    <w:name w:val="Comment Text Char"/>
    <w:basedOn w:val="DefaultParagraphFont"/>
    <w:link w:val="CommentText"/>
    <w:uiPriority w:val="99"/>
    <w:rsid w:val="00577C6C"/>
    <w:rPr>
      <w:sz w:val="20"/>
      <w:szCs w:val="20"/>
    </w:rPr>
  </w:style>
  <w:style w:type="paragraph" w:styleId="CommentSubject">
    <w:name w:val="annotation subject"/>
    <w:basedOn w:val="CommentText"/>
    <w:next w:val="CommentText"/>
    <w:link w:val="CommentSubjectChar"/>
    <w:uiPriority w:val="99"/>
    <w:semiHidden/>
    <w:unhideWhenUsed/>
    <w:rsid w:val="00577C6C"/>
    <w:rPr>
      <w:b/>
      <w:bCs/>
    </w:rPr>
  </w:style>
  <w:style w:type="character" w:customStyle="1" w:styleId="CommentSubjectChar">
    <w:name w:val="Comment Subject Char"/>
    <w:basedOn w:val="CommentTextChar"/>
    <w:link w:val="CommentSubject"/>
    <w:uiPriority w:val="99"/>
    <w:semiHidden/>
    <w:rsid w:val="00577C6C"/>
    <w:rPr>
      <w:b/>
      <w:bCs/>
      <w:sz w:val="20"/>
      <w:szCs w:val="20"/>
    </w:rPr>
  </w:style>
  <w:style w:type="paragraph" w:styleId="BalloonText">
    <w:name w:val="Balloon Text"/>
    <w:basedOn w:val="Normal"/>
    <w:link w:val="BalloonTextChar"/>
    <w:uiPriority w:val="99"/>
    <w:semiHidden/>
    <w:unhideWhenUsed/>
    <w:rsid w:val="00577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C6C"/>
    <w:rPr>
      <w:rFonts w:ascii="Tahoma" w:hAnsi="Tahoma" w:cs="Tahoma"/>
      <w:sz w:val="16"/>
      <w:szCs w:val="16"/>
    </w:rPr>
  </w:style>
  <w:style w:type="paragraph" w:styleId="Header">
    <w:name w:val="header"/>
    <w:basedOn w:val="Normal"/>
    <w:link w:val="HeaderChar"/>
    <w:uiPriority w:val="99"/>
    <w:unhideWhenUsed/>
    <w:rsid w:val="00C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9F"/>
  </w:style>
  <w:style w:type="paragraph" w:styleId="Footer">
    <w:name w:val="footer"/>
    <w:basedOn w:val="Normal"/>
    <w:link w:val="FooterChar"/>
    <w:uiPriority w:val="99"/>
    <w:unhideWhenUsed/>
    <w:rsid w:val="00C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9F"/>
  </w:style>
  <w:style w:type="character" w:styleId="Hyperlink">
    <w:name w:val="Hyperlink"/>
    <w:basedOn w:val="DefaultParagraphFont"/>
    <w:uiPriority w:val="99"/>
    <w:unhideWhenUsed/>
    <w:rsid w:val="00713A63"/>
    <w:rPr>
      <w:color w:val="0000FF" w:themeColor="hyperlink"/>
      <w:u w:val="single"/>
    </w:rPr>
  </w:style>
  <w:style w:type="paragraph" w:styleId="ListParagraph">
    <w:name w:val="List Paragraph"/>
    <w:basedOn w:val="Normal"/>
    <w:uiPriority w:val="34"/>
    <w:qFormat/>
    <w:rsid w:val="00EB2BC3"/>
    <w:pPr>
      <w:spacing w:before="120" w:after="0" w:line="240" w:lineRule="auto"/>
      <w:ind w:left="720"/>
      <w:contextualSpacing/>
    </w:pPr>
    <w:rPr>
      <w:rFonts w:ascii="Arial" w:eastAsia="Times New Roman" w:hAnsi="Arial" w:cs="Times New Roman"/>
      <w:sz w:val="24"/>
      <w:szCs w:val="24"/>
    </w:rPr>
  </w:style>
  <w:style w:type="paragraph" w:customStyle="1" w:styleId="CitationGhost">
    <w:name w:val="Citation Ghost"/>
    <w:basedOn w:val="Normal"/>
    <w:link w:val="CitationGhostChar"/>
    <w:qFormat/>
    <w:rsid w:val="00EB2BC3"/>
    <w:pPr>
      <w:spacing w:after="120"/>
      <w:ind w:left="720"/>
    </w:pPr>
    <w:rPr>
      <w:rFonts w:ascii="Arial" w:hAnsi="Arial" w:cs="Arial"/>
      <w:i/>
      <w:color w:val="A6A6A6" w:themeColor="background1" w:themeShade="A6"/>
      <w:sz w:val="24"/>
    </w:rPr>
  </w:style>
  <w:style w:type="character" w:customStyle="1" w:styleId="CitationGhostChar">
    <w:name w:val="Citation Ghost Char"/>
    <w:basedOn w:val="DefaultParagraphFont"/>
    <w:link w:val="CitationGhost"/>
    <w:rsid w:val="00EB2BC3"/>
    <w:rPr>
      <w:rFonts w:ascii="Arial" w:hAnsi="Arial" w:cs="Arial"/>
      <w:i/>
      <w:color w:val="A6A6A6" w:themeColor="background1" w:themeShade="A6"/>
      <w:sz w:val="24"/>
    </w:rPr>
  </w:style>
  <w:style w:type="paragraph" w:customStyle="1" w:styleId="Normal1">
    <w:name w:val="Normal1"/>
    <w:rsid w:val="005F5AF8"/>
    <w:pPr>
      <w:spacing w:after="0" w:line="240" w:lineRule="auto"/>
    </w:pPr>
    <w:rPr>
      <w:rFonts w:ascii="Arial" w:eastAsia="Arial" w:hAnsi="Arial" w:cs="Arial"/>
      <w:color w:val="000000"/>
      <w:sz w:val="24"/>
      <w:szCs w:val="24"/>
    </w:rPr>
  </w:style>
  <w:style w:type="paragraph" w:styleId="Revision">
    <w:name w:val="Revision"/>
    <w:hidden/>
    <w:uiPriority w:val="99"/>
    <w:semiHidden/>
    <w:rsid w:val="00A71B2C"/>
    <w:pPr>
      <w:spacing w:after="0" w:line="240" w:lineRule="auto"/>
    </w:pPr>
  </w:style>
  <w:style w:type="paragraph" w:customStyle="1" w:styleId="H1">
    <w:name w:val="H1"/>
    <w:basedOn w:val="Heading1"/>
    <w:qFormat/>
    <w:rsid w:val="00033C23"/>
    <w:pPr>
      <w:pBdr>
        <w:bottom w:val="thickThinSmallGap" w:sz="24" w:space="1" w:color="622423" w:themeColor="accent2" w:themeShade="7F"/>
      </w:pBdr>
      <w:tabs>
        <w:tab w:val="left" w:pos="3690"/>
        <w:tab w:val="left" w:pos="11070"/>
      </w:tabs>
      <w:spacing w:before="0" w:after="240" w:line="240" w:lineRule="auto"/>
    </w:pPr>
    <w:rPr>
      <w:color w:val="000000" w:themeColor="text1"/>
    </w:rPr>
  </w:style>
  <w:style w:type="character" w:customStyle="1" w:styleId="Heading1Char">
    <w:name w:val="Heading 1 Char"/>
    <w:basedOn w:val="DefaultParagraphFont"/>
    <w:link w:val="Heading1"/>
    <w:uiPriority w:val="9"/>
    <w:rsid w:val="00033C2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5b7736e9-9df8-49a6-b09e-9141c6f3dbe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5b7736e9-9df8-49a6-b09e-9141c6f3dbe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F8F4E189275342A146AC7B3B792B40" ma:contentTypeVersion="1" ma:contentTypeDescription="Create a new document." ma:contentTypeScope="" ma:versionID="020150afb5e3747d14fb5aaf3b8a363e">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41E45-E968-4224-8262-E78600678E0C}">
  <ds:schemaRefs>
    <ds:schemaRef ds:uri="http://schemas.microsoft.com/sharepoint/v3/contenttype/forms"/>
  </ds:schemaRefs>
</ds:datastoreItem>
</file>

<file path=customXml/itemProps2.xml><?xml version="1.0" encoding="utf-8"?>
<ds:datastoreItem xmlns:ds="http://schemas.openxmlformats.org/officeDocument/2006/customXml" ds:itemID="{58FAA20C-9C0A-4453-BF7D-5EE2E3D759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DF856C-EBA3-4D22-AC02-0FCFCFD1F2A9}">
  <ds:schemaRefs>
    <ds:schemaRef ds:uri="http://schemas.openxmlformats.org/officeDocument/2006/bibliography"/>
  </ds:schemaRefs>
</ds:datastoreItem>
</file>

<file path=customXml/itemProps4.xml><?xml version="1.0" encoding="utf-8"?>
<ds:datastoreItem xmlns:ds="http://schemas.openxmlformats.org/officeDocument/2006/customXml" ds:itemID="{AAB83B43-2D3F-4C39-84D6-D4FDADFEE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SHIPM Required Policies and Procedures</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SHIPM Required Policies and Procedures</dc:title>
  <dc:subject>Required P&amp;Ps per HIPAA</dc:subject>
  <dc:creator>California Health &amp; Human Services Agency</dc:creator>
  <cp:keywords>polices, procedures, HIPAA, required</cp:keywords>
  <cp:lastModifiedBy>Allyant Remediation Services</cp:lastModifiedBy>
  <cp:revision>7</cp:revision>
  <cp:lastPrinted>2020-04-02T20:28:00Z</cp:lastPrinted>
  <dcterms:created xsi:type="dcterms:W3CDTF">2023-03-13T19:20:00Z</dcterms:created>
  <dcterms:modified xsi:type="dcterms:W3CDTF">2023-05-05T19:13:00Z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0x010100CBF8F4E189275342A146AC7B3B792B40</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