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CD58" w14:textId="1A637D01" w:rsidR="007A494C" w:rsidRDefault="007A494C" w:rsidP="001A5608">
      <w:pPr>
        <w:pStyle w:val="Heading1"/>
        <w:spacing w:after="240"/>
      </w:pPr>
      <w:r w:rsidRPr="007A494C">
        <w:t xml:space="preserve">Oversight of BAs – Guidance </w:t>
      </w:r>
      <w:r>
        <w:rPr>
          <w:rFonts w:ascii="Calibri" w:eastAsia="Times New Roman" w:hAnsi="Calibri" w:cs="Calibri"/>
          <w:noProof/>
          <w:color w:val="000000"/>
          <w:shd w:val="clear" w:color="auto" w:fill="FFFFFF"/>
        </w:rPr>
        <w:drawing>
          <wp:inline distT="0" distB="0" distL="0" distR="0" wp14:anchorId="0611F2E1" wp14:editId="47B28779">
            <wp:extent cx="1232535" cy="501650"/>
            <wp:effectExtent l="0" t="0" r="5715" b="0"/>
            <wp:docPr id="1" name="Picture 1" descr="Center for Data Insights and Innovation (California Health &amp; Human Services Agency)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5b7736e9-9df8-49a6-b09e-9141c6f3dbe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7AA18" w14:textId="77777777" w:rsidR="006B745A" w:rsidRPr="00BD0FA2" w:rsidRDefault="006D399B" w:rsidP="007A494C">
      <w:pPr>
        <w:pStyle w:val="Heading2"/>
      </w:pPr>
      <w:r>
        <w:t>Oversight of Business Associates</w:t>
      </w:r>
      <w:r w:rsidR="00790E0F" w:rsidRPr="00BD0FA2">
        <w:t xml:space="preserve"> – Considerations for</w:t>
      </w:r>
      <w:r w:rsidR="00E77BA6" w:rsidRPr="00BD0FA2">
        <w:t xml:space="preserve"> </w:t>
      </w:r>
      <w:r w:rsidR="006B745A" w:rsidRPr="00BD0FA2">
        <w:t>Compliance</w:t>
      </w:r>
    </w:p>
    <w:p w14:paraId="4C7529EB" w14:textId="68E2211F" w:rsidR="003F7D11" w:rsidRDefault="00E22929">
      <w:r w:rsidRPr="00EB5DCB">
        <w:t>T</w:t>
      </w:r>
      <w:r w:rsidR="00755645" w:rsidRPr="00EB5DCB">
        <w:t xml:space="preserve">he </w:t>
      </w:r>
      <w:r w:rsidR="00755645" w:rsidRPr="00BD0FA2">
        <w:rPr>
          <w:i/>
        </w:rPr>
        <w:t>Statewide Health Information Policy Manual</w:t>
      </w:r>
      <w:r w:rsidR="00755645" w:rsidRPr="00BD0FA2">
        <w:t xml:space="preserve"> (SHIPM)</w:t>
      </w:r>
      <w:r w:rsidR="00755645" w:rsidRPr="00EB5DCB">
        <w:t xml:space="preserve"> developed by </w:t>
      </w:r>
      <w:r w:rsidR="00E77BA6" w:rsidRPr="00EB5DCB">
        <w:t xml:space="preserve">the </w:t>
      </w:r>
      <w:r w:rsidR="008D369E">
        <w:t>Center for Data Insights and Innovation (CD</w:t>
      </w:r>
      <w:r w:rsidR="00E77BA6">
        <w:t xml:space="preserve">II) </w:t>
      </w:r>
      <w:r w:rsidR="00755645">
        <w:t>provides an analysis of applicable Federal</w:t>
      </w:r>
      <w:r w:rsidR="001467D1">
        <w:t xml:space="preserve"> (including HIPAA)</w:t>
      </w:r>
      <w:r w:rsidR="00755645">
        <w:t xml:space="preserve"> </w:t>
      </w:r>
      <w:r w:rsidR="003F7D11">
        <w:t xml:space="preserve">and State </w:t>
      </w:r>
      <w:r w:rsidR="00755645">
        <w:t xml:space="preserve">laws and regulations related to </w:t>
      </w:r>
      <w:r w:rsidR="006F331F">
        <w:t>the oversight of business associates (BAs)</w:t>
      </w:r>
      <w:r w:rsidR="00755645">
        <w:t xml:space="preserve"> </w:t>
      </w:r>
      <w:r w:rsidR="00792E88">
        <w:t>–</w:t>
      </w:r>
      <w:r w:rsidR="003F7D11">
        <w:t xml:space="preserve"> </w:t>
      </w:r>
      <w:r w:rsidR="00792E88">
        <w:t>refer to</w:t>
      </w:r>
      <w:r w:rsidRPr="00882C85">
        <w:rPr>
          <w:i/>
        </w:rPr>
        <w:t xml:space="preserve"> SHIPM Chapter </w:t>
      </w:r>
      <w:r w:rsidR="006F331F" w:rsidRPr="00882C85">
        <w:rPr>
          <w:i/>
        </w:rPr>
        <w:t>4</w:t>
      </w:r>
      <w:r w:rsidRPr="00882C85">
        <w:rPr>
          <w:i/>
        </w:rPr>
        <w:t xml:space="preserve"> </w:t>
      </w:r>
      <w:r w:rsidR="006F331F" w:rsidRPr="00882C85">
        <w:rPr>
          <w:i/>
        </w:rPr>
        <w:t>–</w:t>
      </w:r>
      <w:r w:rsidRPr="00882C85">
        <w:rPr>
          <w:i/>
        </w:rPr>
        <w:t xml:space="preserve"> </w:t>
      </w:r>
      <w:r w:rsidR="00755645" w:rsidRPr="00882C85">
        <w:rPr>
          <w:i/>
        </w:rPr>
        <w:t>4</w:t>
      </w:r>
      <w:r w:rsidR="006F331F" w:rsidRPr="00882C85">
        <w:rPr>
          <w:i/>
        </w:rPr>
        <w:t>.4.2</w:t>
      </w:r>
      <w:r w:rsidR="00755645" w:rsidRPr="00882C85">
        <w:rPr>
          <w:i/>
        </w:rPr>
        <w:t xml:space="preserve"> </w:t>
      </w:r>
      <w:r w:rsidR="006F331F" w:rsidRPr="00882C85">
        <w:rPr>
          <w:i/>
        </w:rPr>
        <w:t>Oversight of Business Associates</w:t>
      </w:r>
      <w:r w:rsidR="006F331F">
        <w:t xml:space="preserve"> </w:t>
      </w:r>
      <w:r w:rsidR="00492393">
        <w:t xml:space="preserve">for specific information on </w:t>
      </w:r>
      <w:r w:rsidR="006F331F">
        <w:t>this topic</w:t>
      </w:r>
      <w:r w:rsidR="00755645">
        <w:t>.</w:t>
      </w:r>
    </w:p>
    <w:p w14:paraId="45D5F5FC" w14:textId="7487DF1B" w:rsidR="00E055FC" w:rsidRDefault="00477C56">
      <w:r>
        <w:t xml:space="preserve">The goal of the oversight program is for the Covered Entity (CE) to ensure a BAs ongoing compliance with the terms </w:t>
      </w:r>
      <w:r w:rsidR="003E2633">
        <w:t xml:space="preserve">and conditions </w:t>
      </w:r>
      <w:r>
        <w:t>of the business associate agreement (BAA). D</w:t>
      </w:r>
      <w:r w:rsidR="006F331F">
        <w:t xml:space="preserve">epartments should consider the following </w:t>
      </w:r>
      <w:r w:rsidR="00842680">
        <w:t>steps/items</w:t>
      </w:r>
      <w:r w:rsidR="006F331F">
        <w:t xml:space="preserve"> when establishing their BA oversight program</w:t>
      </w:r>
      <w:r w:rsidR="00FF7461">
        <w:t>:</w:t>
      </w:r>
    </w:p>
    <w:p w14:paraId="3C4AA7AD" w14:textId="77777777" w:rsidR="00912F9A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t>Create an inventory of all business associates</w:t>
      </w:r>
      <w:r w:rsidR="00A82D49">
        <w:t xml:space="preserve">.  </w:t>
      </w:r>
      <w:r>
        <w:t>G</w:t>
      </w:r>
      <w:r w:rsidR="009F0EF6">
        <w:t>ather a</w:t>
      </w:r>
      <w:r w:rsidR="004D3C18">
        <w:t xml:space="preserve"> complete </w:t>
      </w:r>
      <w:r w:rsidR="00842680">
        <w:t>list</w:t>
      </w:r>
      <w:r w:rsidR="004D3C18">
        <w:t xml:space="preserve"> of all </w:t>
      </w:r>
      <w:r>
        <w:t>business associates</w:t>
      </w:r>
      <w:r w:rsidR="00842680">
        <w:t xml:space="preserve"> – the list should include: t</w:t>
      </w:r>
      <w:r>
        <w:t xml:space="preserve">he name of the BA, start and end dates associated with the </w:t>
      </w:r>
      <w:r w:rsidR="00477C56">
        <w:t>BAA</w:t>
      </w:r>
      <w:r>
        <w:t>, and contract information for the BA.</w:t>
      </w:r>
      <w:r w:rsidR="004D3C18">
        <w:t xml:space="preserve">  </w:t>
      </w:r>
      <w:r w:rsidR="00842680">
        <w:t>Departments can use a</w:t>
      </w:r>
      <w:r w:rsidR="00E40BAE">
        <w:t xml:space="preserve">n Excel spreadsheet, database or other tracking method – it is important that the inventory is current and </w:t>
      </w:r>
      <w:r w:rsidR="00842680">
        <w:t xml:space="preserve">readily </w:t>
      </w:r>
      <w:r w:rsidR="00E40BAE">
        <w:t>available.</w:t>
      </w:r>
    </w:p>
    <w:p w14:paraId="170F7D9A" w14:textId="4217E715" w:rsidR="00E055FC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t xml:space="preserve">Assess and document the scope of the business associates’ </w:t>
      </w:r>
      <w:r w:rsidR="00842680">
        <w:rPr>
          <w:b/>
        </w:rPr>
        <w:t>work and services provided</w:t>
      </w:r>
      <w:r w:rsidR="004D3C18">
        <w:t>.</w:t>
      </w:r>
      <w:r w:rsidR="00912F9A">
        <w:t xml:space="preserve"> </w:t>
      </w:r>
      <w:r w:rsidR="00BF5EC6">
        <w:t xml:space="preserve"> </w:t>
      </w:r>
      <w:r w:rsidR="00DB2A58">
        <w:t>For each BA, it is important to understand the scope and nature of the work</w:t>
      </w:r>
      <w:r w:rsidR="00842680">
        <w:t>/services</w:t>
      </w:r>
      <w:r w:rsidR="00DB2A58">
        <w:t xml:space="preserve"> conducted by the BA.  Typically</w:t>
      </w:r>
      <w:r w:rsidR="00792E88">
        <w:t>,</w:t>
      </w:r>
      <w:r w:rsidR="00DB2A58">
        <w:t xml:space="preserve"> there are two types of BAs – (1) “independent contractors” that are conducting their work independently, without extensive oversight by the CE or (2) “agents” acting “as” or “like” workforce members where the CE provides day-to-day oversight and direction.  Additionally, documenting the type of PHI/ePHI the BA has access</w:t>
      </w:r>
      <w:r w:rsidR="00842680">
        <w:t xml:space="preserve"> to, creates</w:t>
      </w:r>
      <w:r w:rsidR="003E2633">
        <w:t>, and/</w:t>
      </w:r>
      <w:r w:rsidR="00842680">
        <w:t>or maintains</w:t>
      </w:r>
      <w:r w:rsidR="00DB2A58">
        <w:t xml:space="preserve"> provides </w:t>
      </w:r>
      <w:r w:rsidR="00842680">
        <w:t>valuable input for the</w:t>
      </w:r>
      <w:r w:rsidR="00DB2A58">
        <w:t xml:space="preserve"> next step.</w:t>
      </w:r>
    </w:p>
    <w:p w14:paraId="48524A0C" w14:textId="461D7E6C" w:rsidR="00DB2A58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t>Evaluate</w:t>
      </w:r>
      <w:r w:rsidR="00E055FC" w:rsidRPr="004D3C18">
        <w:rPr>
          <w:b/>
        </w:rPr>
        <w:t xml:space="preserve"> the </w:t>
      </w:r>
      <w:r>
        <w:rPr>
          <w:b/>
        </w:rPr>
        <w:t>risk</w:t>
      </w:r>
      <w:r w:rsidR="00E055FC" w:rsidRPr="004D3C18">
        <w:rPr>
          <w:b/>
        </w:rPr>
        <w:t>.</w:t>
      </w:r>
      <w:r w:rsidR="00E055FC">
        <w:t xml:space="preserve"> </w:t>
      </w:r>
      <w:r w:rsidR="00DB2A58">
        <w:t>Review the information collected about your BAs to determine the overall risk to your organization</w:t>
      </w:r>
      <w:r w:rsidR="004D3C18">
        <w:t>.</w:t>
      </w:r>
      <w:r w:rsidR="00DB2A58">
        <w:t xml:space="preserve"> </w:t>
      </w:r>
      <w:r w:rsidR="00D61B9E">
        <w:t>For example, a document destruction company that performs the work on sight with oversight is likely less risky than a vendor converting paper health records into an electronic health record system.</w:t>
      </w:r>
      <w:r w:rsidR="00DB2A58">
        <w:t xml:space="preserve"> Take into consideration:</w:t>
      </w:r>
    </w:p>
    <w:p w14:paraId="17EF84AE" w14:textId="2560AE65" w:rsidR="00DB2A58" w:rsidRDefault="00DB2A58" w:rsidP="00DB2A58">
      <w:pPr>
        <w:pStyle w:val="ListParagraph"/>
        <w:numPr>
          <w:ilvl w:val="1"/>
          <w:numId w:val="2"/>
        </w:numPr>
      </w:pPr>
      <w:r>
        <w:t>Size</w:t>
      </w:r>
      <w:r w:rsidR="003E2633">
        <w:t xml:space="preserve"> and type</w:t>
      </w:r>
      <w:r>
        <w:t xml:space="preserve"> of the organization - smaller organizations may not have the controls in place for HIPAA, newer organizations may lack the expertise, companies with little health care experience may be unaware of HIPAA regulations, etc.</w:t>
      </w:r>
    </w:p>
    <w:p w14:paraId="5AC1C447" w14:textId="1B8701E7" w:rsidR="00DB2A58" w:rsidRDefault="00DB2A58" w:rsidP="00DB2A58">
      <w:pPr>
        <w:pStyle w:val="ListParagraph"/>
        <w:numPr>
          <w:ilvl w:val="1"/>
          <w:numId w:val="2"/>
        </w:numPr>
      </w:pPr>
      <w:r>
        <w:t xml:space="preserve">Scope of work performed </w:t>
      </w:r>
      <w:r w:rsidR="00D61B9E">
        <w:t xml:space="preserve">– BAs conducting work on your behalf or acting as workforce members are likely </w:t>
      </w:r>
      <w:proofErr w:type="gramStart"/>
      <w:r w:rsidR="00D61B9E">
        <w:t>more risky</w:t>
      </w:r>
      <w:proofErr w:type="gramEnd"/>
      <w:r w:rsidR="00D61B9E">
        <w:t>.</w:t>
      </w:r>
    </w:p>
    <w:p w14:paraId="5693B30E" w14:textId="77777777" w:rsidR="00C4479B" w:rsidRDefault="00E40BAE" w:rsidP="00DB2A58">
      <w:pPr>
        <w:pStyle w:val="ListParagraph"/>
        <w:numPr>
          <w:ilvl w:val="1"/>
          <w:numId w:val="2"/>
        </w:numPr>
      </w:pPr>
      <w:r>
        <w:t>PHI/ePHI used – BAs with access to more PHI/ePHI are</w:t>
      </w:r>
      <w:r w:rsidR="00D61B9E">
        <w:t xml:space="preserve"> likely </w:t>
      </w:r>
      <w:proofErr w:type="gramStart"/>
      <w:r w:rsidR="00D61B9E">
        <w:t>more risky</w:t>
      </w:r>
      <w:proofErr w:type="gramEnd"/>
      <w:r w:rsidR="00D61B9E">
        <w:t xml:space="preserve"> than those who</w:t>
      </w:r>
      <w:r>
        <w:t xml:space="preserve"> have little access.</w:t>
      </w:r>
    </w:p>
    <w:p w14:paraId="7B490310" w14:textId="090F2A5E" w:rsidR="00FC60FB" w:rsidRDefault="00842680" w:rsidP="00DB2A58">
      <w:pPr>
        <w:pStyle w:val="ListParagraph"/>
        <w:ind w:left="360"/>
      </w:pPr>
      <w:r>
        <w:t xml:space="preserve">This information will allow you to categorize your BAs into high, medium and low risk. </w:t>
      </w:r>
      <w:r w:rsidR="00BF5EC6">
        <w:t>Maintain any notes, tools, or documents used for evaluation</w:t>
      </w:r>
      <w:r w:rsidR="0060490B">
        <w:t xml:space="preserve"> to demonstrate </w:t>
      </w:r>
      <w:r w:rsidR="00790E0F">
        <w:t>compliance</w:t>
      </w:r>
      <w:r w:rsidR="00BF5EC6">
        <w:t>.</w:t>
      </w:r>
    </w:p>
    <w:p w14:paraId="3B077AFE" w14:textId="549C2C90" w:rsidR="00C4479B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lastRenderedPageBreak/>
        <w:t>Establish a program to mitigate</w:t>
      </w:r>
      <w:r w:rsidR="00842680">
        <w:rPr>
          <w:b/>
        </w:rPr>
        <w:t xml:space="preserve"> all</w:t>
      </w:r>
      <w:r>
        <w:rPr>
          <w:b/>
        </w:rPr>
        <w:t xml:space="preserve"> risk levels</w:t>
      </w:r>
      <w:r w:rsidR="004D3C18" w:rsidRPr="004D3C18">
        <w:rPr>
          <w:b/>
        </w:rPr>
        <w:t>.</w:t>
      </w:r>
      <w:r w:rsidR="00D15E3E" w:rsidRPr="004D3C18">
        <w:rPr>
          <w:b/>
        </w:rPr>
        <w:t xml:space="preserve"> </w:t>
      </w:r>
      <w:r w:rsidR="004D3C18">
        <w:rPr>
          <w:b/>
        </w:rPr>
        <w:t xml:space="preserve"> </w:t>
      </w:r>
      <w:r w:rsidR="00C4479B">
        <w:t>Based on the risk level from the previous step</w:t>
      </w:r>
      <w:r w:rsidR="00E40BAE">
        <w:t xml:space="preserve"> and the sheer number of BAs for your department</w:t>
      </w:r>
      <w:r w:rsidR="00C4479B">
        <w:t xml:space="preserve">, determine the oversight program </w:t>
      </w:r>
      <w:r w:rsidR="00E40BAE">
        <w:t xml:space="preserve">your organization </w:t>
      </w:r>
      <w:r w:rsidR="00C4479B">
        <w:t>will implement</w:t>
      </w:r>
      <w:r w:rsidR="00E40BAE">
        <w:t xml:space="preserve"> to ensure compliance</w:t>
      </w:r>
      <w:r w:rsidR="00BF5EC6">
        <w:t>.</w:t>
      </w:r>
      <w:r w:rsidR="00D61B9E">
        <w:t xml:space="preserve">  Document your risk assessment process and notes you make about each BA – your organization may determine the risk associate with some BAs is acceptable.</w:t>
      </w:r>
      <w:r w:rsidR="00842680">
        <w:t xml:space="preserve">  </w:t>
      </w:r>
      <w:r w:rsidR="00D61B9E">
        <w:t>C</w:t>
      </w:r>
      <w:r w:rsidR="00842680">
        <w:t>onsider tailoring your program based on the overall risk level of the BA</w:t>
      </w:r>
      <w:r w:rsidR="003E2633">
        <w:t xml:space="preserve"> as well as staff availability</w:t>
      </w:r>
      <w:r w:rsidR="00842680">
        <w:t>, f</w:t>
      </w:r>
      <w:r w:rsidR="00C4479B">
        <w:t>or example:</w:t>
      </w:r>
    </w:p>
    <w:p w14:paraId="2906379E" w14:textId="77777777" w:rsidR="00477C56" w:rsidRDefault="00477C56" w:rsidP="00C4479B">
      <w:pPr>
        <w:pStyle w:val="ListParagraph"/>
        <w:numPr>
          <w:ilvl w:val="1"/>
          <w:numId w:val="2"/>
        </w:numPr>
      </w:pPr>
      <w:r>
        <w:t xml:space="preserve">Conduct onsite </w:t>
      </w:r>
      <w:proofErr w:type="gramStart"/>
      <w:r>
        <w:t>visits</w:t>
      </w:r>
      <w:proofErr w:type="gramEnd"/>
    </w:p>
    <w:p w14:paraId="6E907DF7" w14:textId="77777777" w:rsidR="00477C56" w:rsidRDefault="00477C56" w:rsidP="00C4479B">
      <w:pPr>
        <w:pStyle w:val="ListParagraph"/>
        <w:numPr>
          <w:ilvl w:val="1"/>
          <w:numId w:val="2"/>
        </w:numPr>
      </w:pPr>
      <w:r>
        <w:t>Review key documentation (such as policies and procedures, risk assessment)</w:t>
      </w:r>
    </w:p>
    <w:p w14:paraId="383D5734" w14:textId="06667A44" w:rsidR="00C4479B" w:rsidRDefault="00477C56" w:rsidP="00C4479B">
      <w:pPr>
        <w:pStyle w:val="ListParagraph"/>
        <w:numPr>
          <w:ilvl w:val="1"/>
          <w:numId w:val="2"/>
        </w:numPr>
      </w:pPr>
      <w:r>
        <w:t xml:space="preserve">Conduct interviews with key </w:t>
      </w:r>
      <w:proofErr w:type="gramStart"/>
      <w:r>
        <w:t>personnel</w:t>
      </w:r>
      <w:proofErr w:type="gramEnd"/>
    </w:p>
    <w:p w14:paraId="24474414" w14:textId="246D3B80" w:rsidR="00477C56" w:rsidRDefault="00477C56" w:rsidP="00C4479B">
      <w:pPr>
        <w:pStyle w:val="ListParagraph"/>
        <w:numPr>
          <w:ilvl w:val="1"/>
          <w:numId w:val="2"/>
        </w:numPr>
      </w:pPr>
      <w:r>
        <w:t xml:space="preserve">Ask BA to complete </w:t>
      </w:r>
      <w:r w:rsidR="00C4479B">
        <w:t>self-</w:t>
      </w:r>
      <w:proofErr w:type="gramStart"/>
      <w:r w:rsidR="00C4479B">
        <w:t>assessment</w:t>
      </w:r>
      <w:proofErr w:type="gramEnd"/>
    </w:p>
    <w:p w14:paraId="5D0B731A" w14:textId="77777777" w:rsidR="00477C56" w:rsidRDefault="00477C56" w:rsidP="00C4479B">
      <w:pPr>
        <w:pStyle w:val="ListParagraph"/>
        <w:numPr>
          <w:ilvl w:val="1"/>
          <w:numId w:val="2"/>
        </w:numPr>
      </w:pPr>
      <w:r>
        <w:t>Require BA to sign letter of “self-</w:t>
      </w:r>
      <w:proofErr w:type="gramStart"/>
      <w:r>
        <w:t>certification”</w:t>
      </w:r>
      <w:proofErr w:type="gramEnd"/>
    </w:p>
    <w:p w14:paraId="1B4BA35C" w14:textId="0D906B34" w:rsidR="00D61B9E" w:rsidRDefault="00477C56" w:rsidP="00D61B9E">
      <w:pPr>
        <w:pStyle w:val="ListParagraph"/>
        <w:numPr>
          <w:ilvl w:val="1"/>
          <w:numId w:val="2"/>
        </w:numPr>
      </w:pPr>
      <w:r>
        <w:t>Conduct “pre-negotiation” review/research</w:t>
      </w:r>
    </w:p>
    <w:p w14:paraId="3FC6BE03" w14:textId="77777777" w:rsidR="00D15E3E" w:rsidRDefault="00477C56" w:rsidP="00477C56">
      <w:pPr>
        <w:pStyle w:val="ListParagraph"/>
        <w:ind w:left="360"/>
      </w:pPr>
      <w:r>
        <w:t>Document the goals, strategy</w:t>
      </w:r>
      <w:r w:rsidR="003E2633">
        <w:t xml:space="preserve">, </w:t>
      </w:r>
      <w:proofErr w:type="gramStart"/>
      <w:r>
        <w:t>processes</w:t>
      </w:r>
      <w:proofErr w:type="gramEnd"/>
      <w:r w:rsidR="003E2633">
        <w:t xml:space="preserve"> and tools</w:t>
      </w:r>
      <w:r>
        <w:t xml:space="preserve"> </w:t>
      </w:r>
      <w:proofErr w:type="gramStart"/>
      <w:r>
        <w:t>associate</w:t>
      </w:r>
      <w:proofErr w:type="gramEnd"/>
      <w:r>
        <w:t xml:space="preserve"> with your oversight program</w:t>
      </w:r>
      <w:r w:rsidR="00790E0F">
        <w:t>.</w:t>
      </w:r>
    </w:p>
    <w:p w14:paraId="46745EC4" w14:textId="1C1D2EF0" w:rsidR="006F331F" w:rsidRDefault="00F94ACD" w:rsidP="00E055FC">
      <w:pPr>
        <w:pStyle w:val="ListParagraph"/>
        <w:numPr>
          <w:ilvl w:val="0"/>
          <w:numId w:val="2"/>
        </w:numPr>
      </w:pPr>
      <w:r>
        <w:rPr>
          <w:b/>
        </w:rPr>
        <w:t xml:space="preserve">Conduct oversight activities.  </w:t>
      </w:r>
      <w:r>
        <w:t>Once the program is in place, conduct the oversight activities</w:t>
      </w:r>
      <w:r w:rsidR="006F331F" w:rsidRPr="00F94ACD">
        <w:t xml:space="preserve"> and maintain oversight documentation</w:t>
      </w:r>
      <w:r w:rsidR="006F331F" w:rsidRPr="006F331F">
        <w:t>.</w:t>
      </w:r>
      <w:r>
        <w:t xml:space="preserve">  Logs, documents, checklists, notes and other documentation should be kept </w:t>
      </w:r>
      <w:proofErr w:type="gramStart"/>
      <w:r>
        <w:t>to</w:t>
      </w:r>
      <w:r w:rsidR="00BF3885">
        <w:t xml:space="preserve"> </w:t>
      </w:r>
      <w:r>
        <w:t>demonstrate</w:t>
      </w:r>
      <w:proofErr w:type="gramEnd"/>
      <w:r>
        <w:t xml:space="preserve"> your organization’s compliance.</w:t>
      </w:r>
    </w:p>
    <w:p w14:paraId="796471B2" w14:textId="2E9E1D81" w:rsidR="00D11B7C" w:rsidRPr="00BD0FA2" w:rsidRDefault="003E2993" w:rsidP="007A494C">
      <w:pPr>
        <w:pStyle w:val="Heading2"/>
      </w:pPr>
      <w:r>
        <w:t>Items</w:t>
      </w:r>
      <w:r w:rsidRPr="00BD0FA2">
        <w:t xml:space="preserve"> </w:t>
      </w:r>
      <w:r w:rsidR="00790E0F" w:rsidRPr="00BD0FA2">
        <w:t xml:space="preserve">for </w:t>
      </w:r>
      <w:r w:rsidR="00D11B7C" w:rsidRPr="00BD0FA2">
        <w:t>Compliance</w:t>
      </w:r>
    </w:p>
    <w:p w14:paraId="1D6ABA78" w14:textId="18B778E6" w:rsidR="00AE44EB" w:rsidRDefault="00E40BAE" w:rsidP="00AE44EB">
      <w:r>
        <w:t>The following list provides a summary of the items needed to demonstrate compliance with SHIPM 4.4.2 Oversight of Business Associates</w:t>
      </w:r>
      <w:r w:rsidR="003D5930">
        <w:t>.</w:t>
      </w:r>
    </w:p>
    <w:tbl>
      <w:tblPr>
        <w:tblStyle w:val="TableGrid"/>
        <w:tblW w:w="4679" w:type="pct"/>
        <w:tblInd w:w="198" w:type="dxa"/>
        <w:tblLayout w:type="fixed"/>
        <w:tblLook w:val="04A0" w:firstRow="1" w:lastRow="0" w:firstColumn="1" w:lastColumn="0" w:noHBand="0" w:noVBand="1"/>
        <w:tblCaption w:val="Risk Assessment Checklist"/>
        <w:tblDescription w:val="Table contains an item number reference, topic (or item for compliance), covered and comment."/>
      </w:tblPr>
      <w:tblGrid>
        <w:gridCol w:w="469"/>
        <w:gridCol w:w="7698"/>
        <w:gridCol w:w="1257"/>
      </w:tblGrid>
      <w:tr w:rsidR="00F97B7C" w:rsidRPr="008D1EED" w14:paraId="48516A18" w14:textId="77777777" w:rsidTr="007A494C">
        <w:trPr>
          <w:tblHeader/>
        </w:trPr>
        <w:tc>
          <w:tcPr>
            <w:tcW w:w="249" w:type="pct"/>
            <w:shd w:val="clear" w:color="auto" w:fill="C6D9F1" w:themeFill="text2" w:themeFillTint="33"/>
            <w:vAlign w:val="center"/>
          </w:tcPr>
          <w:p w14:paraId="22804A5D" w14:textId="77777777" w:rsidR="00F97B7C" w:rsidRPr="008D1EED" w:rsidRDefault="00F97B7C" w:rsidP="003D5930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D1EED">
              <w:rPr>
                <w:rFonts w:eastAsia="Times New Roman" w:cs="Arial"/>
                <w:b/>
                <w:sz w:val="20"/>
                <w:szCs w:val="20"/>
              </w:rPr>
              <w:t>#</w:t>
            </w:r>
          </w:p>
        </w:tc>
        <w:tc>
          <w:tcPr>
            <w:tcW w:w="4084" w:type="pct"/>
            <w:shd w:val="clear" w:color="auto" w:fill="C6D9F1" w:themeFill="text2" w:themeFillTint="33"/>
            <w:vAlign w:val="center"/>
          </w:tcPr>
          <w:p w14:paraId="2EB1912D" w14:textId="77777777" w:rsidR="00F97B7C" w:rsidRPr="008D1EED" w:rsidRDefault="00F97B7C" w:rsidP="003D5930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Activities / Documents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6D1B3872" w14:textId="77777777" w:rsidR="00F97B7C" w:rsidRPr="008D1EED" w:rsidRDefault="00F97B7C" w:rsidP="003F7D1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Completed (Y or </w:t>
            </w:r>
            <w:r w:rsidRPr="008D1EED">
              <w:rPr>
                <w:rFonts w:eastAsia="Times New Roman" w:cs="Arial"/>
                <w:b/>
                <w:sz w:val="20"/>
                <w:szCs w:val="20"/>
              </w:rPr>
              <w:t>N)</w:t>
            </w:r>
          </w:p>
        </w:tc>
      </w:tr>
      <w:tr w:rsidR="00F97B7C" w:rsidRPr="00D11B7C" w14:paraId="09279418" w14:textId="77777777" w:rsidTr="007A494C">
        <w:trPr>
          <w:trHeight w:val="629"/>
        </w:trPr>
        <w:tc>
          <w:tcPr>
            <w:tcW w:w="249" w:type="pct"/>
            <w:vAlign w:val="center"/>
          </w:tcPr>
          <w:p w14:paraId="765FFE25" w14:textId="77777777"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14:paraId="5BA5D311" w14:textId="77777777" w:rsidR="00F97B7C" w:rsidRPr="00D11B7C" w:rsidRDefault="00F97B7C" w:rsidP="001467D1">
            <w:pPr>
              <w:rPr>
                <w:rFonts w:cs="Arial"/>
              </w:rPr>
            </w:pPr>
            <w:r>
              <w:rPr>
                <w:rFonts w:cs="Arial"/>
              </w:rPr>
              <w:t>Current inventory of all BAs – full list of all BAs including dates associated with BAA</w:t>
            </w:r>
          </w:p>
        </w:tc>
        <w:tc>
          <w:tcPr>
            <w:tcW w:w="667" w:type="pct"/>
            <w:vAlign w:val="center"/>
          </w:tcPr>
          <w:p w14:paraId="039F164F" w14:textId="77777777" w:rsidR="00F97B7C" w:rsidRPr="00D11B7C" w:rsidRDefault="00F97B7C" w:rsidP="008531FF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F97B7C" w:rsidRPr="00D11B7C" w14:paraId="736A5A1B" w14:textId="77777777" w:rsidTr="007A494C">
        <w:trPr>
          <w:trHeight w:val="629"/>
        </w:trPr>
        <w:tc>
          <w:tcPr>
            <w:tcW w:w="249" w:type="pct"/>
            <w:vAlign w:val="center"/>
          </w:tcPr>
          <w:p w14:paraId="4E690375" w14:textId="77777777"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14:paraId="2DB675D3" w14:textId="77777777" w:rsidR="00F97B7C" w:rsidRPr="00D11B7C" w:rsidRDefault="00F97B7C" w:rsidP="00F97B7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BAA template and log demonstrating continuous review/revisions</w:t>
            </w:r>
          </w:p>
        </w:tc>
        <w:tc>
          <w:tcPr>
            <w:tcW w:w="667" w:type="pct"/>
            <w:vAlign w:val="center"/>
          </w:tcPr>
          <w:p w14:paraId="4BD2DCB8" w14:textId="77777777"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F97B7C" w:rsidRPr="00D11B7C" w14:paraId="656B8478" w14:textId="77777777" w:rsidTr="007A494C">
        <w:trPr>
          <w:trHeight w:val="629"/>
        </w:trPr>
        <w:tc>
          <w:tcPr>
            <w:tcW w:w="249" w:type="pct"/>
            <w:vAlign w:val="center"/>
          </w:tcPr>
          <w:p w14:paraId="520FA0CA" w14:textId="77777777"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14:paraId="3C983D46" w14:textId="77777777" w:rsidR="00F97B7C" w:rsidRDefault="00F97B7C" w:rsidP="00F97B7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BA Risk Assessment – review of all BAs to determine risk level</w:t>
            </w:r>
            <w:r w:rsidR="00D61B9E">
              <w:rPr>
                <w:rFonts w:cs="Arial"/>
              </w:rPr>
              <w:t>, retain documentation related to the assessment</w:t>
            </w:r>
          </w:p>
        </w:tc>
        <w:tc>
          <w:tcPr>
            <w:tcW w:w="667" w:type="pct"/>
            <w:vAlign w:val="center"/>
          </w:tcPr>
          <w:p w14:paraId="377382BE" w14:textId="77777777"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F97B7C" w:rsidRPr="00D11B7C" w14:paraId="0E9100CD" w14:textId="77777777" w:rsidTr="007A494C">
        <w:trPr>
          <w:trHeight w:val="629"/>
        </w:trPr>
        <w:tc>
          <w:tcPr>
            <w:tcW w:w="249" w:type="pct"/>
            <w:vAlign w:val="center"/>
          </w:tcPr>
          <w:p w14:paraId="68C5DA70" w14:textId="77777777"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14:paraId="0959FBA5" w14:textId="77777777" w:rsidR="00F97B7C" w:rsidRPr="00D11B7C" w:rsidRDefault="00F97B7C" w:rsidP="00D40F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Documented BA oversight program – including </w:t>
            </w:r>
            <w:r w:rsidR="003E2633">
              <w:rPr>
                <w:rFonts w:cs="Arial"/>
              </w:rPr>
              <w:t xml:space="preserve">processes, </w:t>
            </w:r>
            <w:r>
              <w:rPr>
                <w:rFonts w:cs="Arial"/>
              </w:rPr>
              <w:t>tools, templates</w:t>
            </w:r>
            <w:r w:rsidR="003E263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materials used to perform oversight activities</w:t>
            </w:r>
          </w:p>
        </w:tc>
        <w:tc>
          <w:tcPr>
            <w:tcW w:w="667" w:type="pct"/>
            <w:vAlign w:val="center"/>
          </w:tcPr>
          <w:p w14:paraId="5C178D35" w14:textId="77777777"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F97B7C" w:rsidRPr="00D11B7C" w14:paraId="08BC29EE" w14:textId="77777777" w:rsidTr="007A494C">
        <w:trPr>
          <w:trHeight w:val="629"/>
        </w:trPr>
        <w:tc>
          <w:tcPr>
            <w:tcW w:w="249" w:type="pct"/>
            <w:vAlign w:val="center"/>
          </w:tcPr>
          <w:p w14:paraId="6BD86414" w14:textId="77777777"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14:paraId="67844887" w14:textId="77777777" w:rsidR="00F97B7C" w:rsidRDefault="00F97B7C" w:rsidP="003E26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Documentation</w:t>
            </w:r>
            <w:r w:rsidR="003E2633">
              <w:rPr>
                <w:rFonts w:cs="Arial"/>
              </w:rPr>
              <w:t xml:space="preserve"> of completed </w:t>
            </w:r>
            <w:r>
              <w:rPr>
                <w:rFonts w:cs="Arial"/>
              </w:rPr>
              <w:t>oversight activities</w:t>
            </w:r>
            <w:r w:rsidR="003E2633">
              <w:rPr>
                <w:rFonts w:cs="Arial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14:paraId="58DF4739" w14:textId="77777777"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</w:tbl>
    <w:p w14:paraId="07833800" w14:textId="77777777" w:rsidR="00F94ACD" w:rsidRPr="009B4D63" w:rsidRDefault="00F94ACD" w:rsidP="00F97B7C">
      <w:pPr>
        <w:rPr>
          <w:sz w:val="2"/>
          <w:szCs w:val="2"/>
        </w:rPr>
      </w:pPr>
    </w:p>
    <w:sectPr w:rsidR="00F94ACD" w:rsidRPr="009B4D63" w:rsidSect="007A49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E4CE" w14:textId="77777777" w:rsidR="00E40632" w:rsidRDefault="00E40632" w:rsidP="00913F46">
      <w:pPr>
        <w:spacing w:after="0" w:line="240" w:lineRule="auto"/>
      </w:pPr>
      <w:r>
        <w:separator/>
      </w:r>
    </w:p>
  </w:endnote>
  <w:endnote w:type="continuationSeparator" w:id="0">
    <w:p w14:paraId="71E933DD" w14:textId="77777777" w:rsidR="00E40632" w:rsidRDefault="00E40632" w:rsidP="0091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1AF2" w14:textId="77777777" w:rsidR="00407CEA" w:rsidRDefault="0040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4B64" w14:textId="14C72CEE" w:rsidR="0029432C" w:rsidRPr="009B4D63" w:rsidRDefault="004F4255" w:rsidP="009B4D6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06/20</w:t>
    </w:r>
    <w:r w:rsidR="00792E88">
      <w:rPr>
        <w:rFonts w:asciiTheme="majorHAnsi" w:eastAsiaTheme="majorEastAsia" w:hAnsiTheme="majorHAnsi" w:cstheme="majorBidi"/>
      </w:rPr>
      <w:t>23</w:t>
    </w:r>
    <w:r w:rsidR="0029432C">
      <w:rPr>
        <w:rFonts w:asciiTheme="majorHAnsi" w:eastAsiaTheme="majorEastAsia" w:hAnsiTheme="majorHAnsi" w:cstheme="majorBidi"/>
      </w:rPr>
      <w:ptab w:relativeTo="margin" w:alignment="right" w:leader="none"/>
    </w:r>
    <w:r w:rsidR="0029432C">
      <w:rPr>
        <w:rFonts w:asciiTheme="majorHAnsi" w:eastAsiaTheme="majorEastAsia" w:hAnsiTheme="majorHAnsi" w:cstheme="majorBidi"/>
      </w:rPr>
      <w:t xml:space="preserve">Page </w:t>
    </w:r>
    <w:r w:rsidR="0029432C">
      <w:rPr>
        <w:rFonts w:asciiTheme="minorHAnsi" w:eastAsiaTheme="minorEastAsia" w:hAnsiTheme="minorHAnsi"/>
      </w:rPr>
      <w:fldChar w:fldCharType="begin"/>
    </w:r>
    <w:r w:rsidR="0029432C">
      <w:instrText xml:space="preserve"> PAGE   \* MERGEFORMAT </w:instrText>
    </w:r>
    <w:r w:rsidR="0029432C">
      <w:rPr>
        <w:rFonts w:asciiTheme="minorHAnsi" w:eastAsiaTheme="minorEastAsia" w:hAnsiTheme="minorHAnsi"/>
      </w:rPr>
      <w:fldChar w:fldCharType="separate"/>
    </w:r>
    <w:r w:rsidRPr="004F4255">
      <w:rPr>
        <w:rFonts w:asciiTheme="majorHAnsi" w:eastAsiaTheme="majorEastAsia" w:hAnsiTheme="majorHAnsi" w:cstheme="majorBidi"/>
        <w:noProof/>
      </w:rPr>
      <w:t>1</w:t>
    </w:r>
    <w:r w:rsidR="0029432C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4FEE" w14:textId="60D3E621" w:rsidR="007A494C" w:rsidRPr="00497F7B" w:rsidRDefault="007A494C" w:rsidP="00497F7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06/2023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>
      <w:rPr>
        <w:rFonts w:asciiTheme="minorHAnsi" w:eastAsiaTheme="minorEastAsia" w:hAnsiTheme="minorHAnsi"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2676" w14:textId="77777777" w:rsidR="00E40632" w:rsidRDefault="00E40632" w:rsidP="00913F46">
      <w:pPr>
        <w:spacing w:after="0" w:line="240" w:lineRule="auto"/>
      </w:pPr>
      <w:r>
        <w:separator/>
      </w:r>
    </w:p>
  </w:footnote>
  <w:footnote w:type="continuationSeparator" w:id="0">
    <w:p w14:paraId="506C4F8E" w14:textId="77777777" w:rsidR="00E40632" w:rsidRDefault="00E40632" w:rsidP="0091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0464" w14:textId="77777777" w:rsidR="00407CEA" w:rsidRDefault="00407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B246" w14:textId="0141CE83" w:rsidR="0029432C" w:rsidRPr="00497F7B" w:rsidRDefault="007A494C" w:rsidP="00497F7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center" w:pos="5040"/>
        <w:tab w:val="right" w:pos="10080"/>
      </w:tabs>
      <w:spacing w:after="240"/>
      <w:jc w:val="right"/>
      <w:rPr>
        <w:rFonts w:asciiTheme="majorHAnsi" w:eastAsiaTheme="majorEastAsia" w:hAnsiTheme="majorHAnsi" w:cstheme="majorBidi"/>
        <w:sz w:val="32"/>
        <w:szCs w:val="32"/>
      </w:rPr>
    </w:pPr>
    <w:r w:rsidRPr="007A494C">
      <w:rPr>
        <w:rFonts w:asciiTheme="majorHAnsi" w:eastAsiaTheme="majorEastAsia" w:hAnsiTheme="majorHAnsi" w:cstheme="majorBidi"/>
        <w:sz w:val="32"/>
        <w:szCs w:val="32"/>
      </w:rPr>
      <w:t xml:space="preserve">Oversight of BAs – Guidance </w:t>
    </w:r>
    <w:r w:rsidR="008D369E">
      <w:rPr>
        <w:rFonts w:ascii="Calibri" w:eastAsia="Times New Roman" w:hAnsi="Calibri" w:cs="Calibri"/>
        <w:noProof/>
        <w:color w:val="000000"/>
        <w:shd w:val="clear" w:color="auto" w:fill="FFFFFF"/>
      </w:rPr>
      <w:drawing>
        <wp:inline distT="0" distB="0" distL="0" distR="0" wp14:anchorId="7DCBC254" wp14:editId="5970FC1D">
          <wp:extent cx="1232535" cy="501650"/>
          <wp:effectExtent l="0" t="0" r="5715" b="0"/>
          <wp:docPr id="9" name="Picture 9" descr="Center for Data Insights and Innovation (California Health &amp; Human Services Agency)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5b7736e9-9df8-49a6-b09e-9141c6f3dbe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1667" w14:textId="77777777" w:rsidR="00407CEA" w:rsidRDefault="00407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1F4"/>
    <w:multiLevelType w:val="hybridMultilevel"/>
    <w:tmpl w:val="504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0514D"/>
    <w:multiLevelType w:val="hybridMultilevel"/>
    <w:tmpl w:val="7700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0FCA"/>
    <w:multiLevelType w:val="hybridMultilevel"/>
    <w:tmpl w:val="C958C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30C18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8533B"/>
    <w:multiLevelType w:val="hybridMultilevel"/>
    <w:tmpl w:val="8736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62D9"/>
    <w:multiLevelType w:val="hybridMultilevel"/>
    <w:tmpl w:val="BC8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261EC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D4B91"/>
    <w:multiLevelType w:val="hybridMultilevel"/>
    <w:tmpl w:val="702A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145A5"/>
    <w:multiLevelType w:val="hybridMultilevel"/>
    <w:tmpl w:val="2E086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372EB5"/>
    <w:multiLevelType w:val="hybridMultilevel"/>
    <w:tmpl w:val="0EB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37732"/>
    <w:multiLevelType w:val="hybridMultilevel"/>
    <w:tmpl w:val="4DBA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526">
    <w:abstractNumId w:val="12"/>
  </w:num>
  <w:num w:numId="2" w16cid:durableId="1457721489">
    <w:abstractNumId w:val="10"/>
  </w:num>
  <w:num w:numId="3" w16cid:durableId="1507404328">
    <w:abstractNumId w:val="8"/>
  </w:num>
  <w:num w:numId="4" w16cid:durableId="1836384330">
    <w:abstractNumId w:val="6"/>
  </w:num>
  <w:num w:numId="5" w16cid:durableId="637302214">
    <w:abstractNumId w:val="5"/>
  </w:num>
  <w:num w:numId="6" w16cid:durableId="1441417471">
    <w:abstractNumId w:val="1"/>
  </w:num>
  <w:num w:numId="7" w16cid:durableId="1836649322">
    <w:abstractNumId w:val="11"/>
  </w:num>
  <w:num w:numId="8" w16cid:durableId="377708995">
    <w:abstractNumId w:val="2"/>
  </w:num>
  <w:num w:numId="9" w16cid:durableId="265625621">
    <w:abstractNumId w:val="0"/>
  </w:num>
  <w:num w:numId="10" w16cid:durableId="612245165">
    <w:abstractNumId w:val="3"/>
  </w:num>
  <w:num w:numId="11" w16cid:durableId="684357732">
    <w:abstractNumId w:val="7"/>
  </w:num>
  <w:num w:numId="12" w16cid:durableId="70467076">
    <w:abstractNumId w:val="4"/>
  </w:num>
  <w:num w:numId="13" w16cid:durableId="1409619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C"/>
    <w:rsid w:val="00044940"/>
    <w:rsid w:val="00071F2F"/>
    <w:rsid w:val="000C4F27"/>
    <w:rsid w:val="001467D1"/>
    <w:rsid w:val="001A5608"/>
    <w:rsid w:val="001F5389"/>
    <w:rsid w:val="001F62B1"/>
    <w:rsid w:val="00213681"/>
    <w:rsid w:val="002472EF"/>
    <w:rsid w:val="00256B5D"/>
    <w:rsid w:val="00276A17"/>
    <w:rsid w:val="0029432C"/>
    <w:rsid w:val="002A2D2E"/>
    <w:rsid w:val="002E2743"/>
    <w:rsid w:val="00354316"/>
    <w:rsid w:val="00361091"/>
    <w:rsid w:val="00371778"/>
    <w:rsid w:val="003A64DF"/>
    <w:rsid w:val="003D3860"/>
    <w:rsid w:val="003D5930"/>
    <w:rsid w:val="003E2633"/>
    <w:rsid w:val="003E2993"/>
    <w:rsid w:val="003F7D11"/>
    <w:rsid w:val="00400778"/>
    <w:rsid w:val="00407CEA"/>
    <w:rsid w:val="00450D0F"/>
    <w:rsid w:val="00477C56"/>
    <w:rsid w:val="00491E5E"/>
    <w:rsid w:val="00492393"/>
    <w:rsid w:val="00495994"/>
    <w:rsid w:val="00497F7B"/>
    <w:rsid w:val="004B3AA9"/>
    <w:rsid w:val="004C6231"/>
    <w:rsid w:val="004D110F"/>
    <w:rsid w:val="004D3C18"/>
    <w:rsid w:val="004E6238"/>
    <w:rsid w:val="004F2905"/>
    <w:rsid w:val="004F4255"/>
    <w:rsid w:val="005574E3"/>
    <w:rsid w:val="00577227"/>
    <w:rsid w:val="0059302C"/>
    <w:rsid w:val="005B6D97"/>
    <w:rsid w:val="0060490B"/>
    <w:rsid w:val="00622AFD"/>
    <w:rsid w:val="00651814"/>
    <w:rsid w:val="0066702E"/>
    <w:rsid w:val="006705D1"/>
    <w:rsid w:val="006B650E"/>
    <w:rsid w:val="006B745A"/>
    <w:rsid w:val="006C3B68"/>
    <w:rsid w:val="006D399B"/>
    <w:rsid w:val="006F331F"/>
    <w:rsid w:val="00717858"/>
    <w:rsid w:val="00736CCE"/>
    <w:rsid w:val="00746D8D"/>
    <w:rsid w:val="007513E4"/>
    <w:rsid w:val="00755645"/>
    <w:rsid w:val="0077116B"/>
    <w:rsid w:val="007827CB"/>
    <w:rsid w:val="00787634"/>
    <w:rsid w:val="00790E0F"/>
    <w:rsid w:val="00792928"/>
    <w:rsid w:val="00792E88"/>
    <w:rsid w:val="007A36EC"/>
    <w:rsid w:val="007A494C"/>
    <w:rsid w:val="007C0BCB"/>
    <w:rsid w:val="007D039E"/>
    <w:rsid w:val="007D2AE0"/>
    <w:rsid w:val="007F0103"/>
    <w:rsid w:val="007F61BA"/>
    <w:rsid w:val="008120A7"/>
    <w:rsid w:val="00827249"/>
    <w:rsid w:val="00842680"/>
    <w:rsid w:val="00845BC3"/>
    <w:rsid w:val="008531FF"/>
    <w:rsid w:val="00866FDC"/>
    <w:rsid w:val="00882C85"/>
    <w:rsid w:val="00893551"/>
    <w:rsid w:val="008D1EED"/>
    <w:rsid w:val="008D369E"/>
    <w:rsid w:val="008E1568"/>
    <w:rsid w:val="00912F9A"/>
    <w:rsid w:val="00913F46"/>
    <w:rsid w:val="009770D7"/>
    <w:rsid w:val="009B4D63"/>
    <w:rsid w:val="009D32C4"/>
    <w:rsid w:val="009E6C05"/>
    <w:rsid w:val="009F0EF6"/>
    <w:rsid w:val="009F40F0"/>
    <w:rsid w:val="00A10A5A"/>
    <w:rsid w:val="00A65F43"/>
    <w:rsid w:val="00A82D49"/>
    <w:rsid w:val="00AC132A"/>
    <w:rsid w:val="00AD2146"/>
    <w:rsid w:val="00AE0CD8"/>
    <w:rsid w:val="00AE44EB"/>
    <w:rsid w:val="00AF0B31"/>
    <w:rsid w:val="00B17F75"/>
    <w:rsid w:val="00B50244"/>
    <w:rsid w:val="00B6117D"/>
    <w:rsid w:val="00B848DB"/>
    <w:rsid w:val="00BD0FA2"/>
    <w:rsid w:val="00BF3885"/>
    <w:rsid w:val="00BF5EC6"/>
    <w:rsid w:val="00C04B20"/>
    <w:rsid w:val="00C167B5"/>
    <w:rsid w:val="00C4479B"/>
    <w:rsid w:val="00C56037"/>
    <w:rsid w:val="00C6432C"/>
    <w:rsid w:val="00C7668C"/>
    <w:rsid w:val="00CA0463"/>
    <w:rsid w:val="00CE2105"/>
    <w:rsid w:val="00CF4CCA"/>
    <w:rsid w:val="00D11B7C"/>
    <w:rsid w:val="00D15E3E"/>
    <w:rsid w:val="00D377BC"/>
    <w:rsid w:val="00D524CC"/>
    <w:rsid w:val="00D61B9E"/>
    <w:rsid w:val="00D62892"/>
    <w:rsid w:val="00D82470"/>
    <w:rsid w:val="00DB2A58"/>
    <w:rsid w:val="00DE019C"/>
    <w:rsid w:val="00DF6C5C"/>
    <w:rsid w:val="00E0465C"/>
    <w:rsid w:val="00E055FC"/>
    <w:rsid w:val="00E22929"/>
    <w:rsid w:val="00E37B4E"/>
    <w:rsid w:val="00E40632"/>
    <w:rsid w:val="00E40BAE"/>
    <w:rsid w:val="00E420F4"/>
    <w:rsid w:val="00E50998"/>
    <w:rsid w:val="00E76571"/>
    <w:rsid w:val="00E77BA6"/>
    <w:rsid w:val="00E94B66"/>
    <w:rsid w:val="00EB5DCB"/>
    <w:rsid w:val="00F15F85"/>
    <w:rsid w:val="00F22D14"/>
    <w:rsid w:val="00F23AE7"/>
    <w:rsid w:val="00F40E33"/>
    <w:rsid w:val="00F65BF4"/>
    <w:rsid w:val="00F72D13"/>
    <w:rsid w:val="00F94ACD"/>
    <w:rsid w:val="00F97B7C"/>
    <w:rsid w:val="00FC60FB"/>
    <w:rsid w:val="00FE1007"/>
    <w:rsid w:val="00FE1F7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1F280"/>
  <w15:docId w15:val="{B137D7F5-DDD3-4E51-AAC3-12544A8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CB"/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7A494C"/>
    <w:pPr>
      <w:pBdr>
        <w:bottom w:val="thickThinSmallGap" w:sz="24" w:space="1" w:color="622423" w:themeColor="accent2" w:themeShade="7F"/>
      </w:pBdr>
      <w:tabs>
        <w:tab w:val="clear" w:pos="9360"/>
        <w:tab w:val="center" w:pos="5040"/>
        <w:tab w:val="right" w:pos="10080"/>
      </w:tabs>
      <w:jc w:val="righ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94C"/>
    <w:pPr>
      <w:outlineLvl w:val="1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FC"/>
    <w:pPr>
      <w:ind w:left="720"/>
      <w:contextualSpacing/>
    </w:pPr>
  </w:style>
  <w:style w:type="table" w:styleId="TableGrid">
    <w:name w:val="Table Grid"/>
    <w:basedOn w:val="TableNormal"/>
    <w:uiPriority w:val="59"/>
    <w:rsid w:val="00E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F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7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2C"/>
  </w:style>
  <w:style w:type="paragraph" w:styleId="Footer">
    <w:name w:val="footer"/>
    <w:basedOn w:val="Normal"/>
    <w:link w:val="Foot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2C"/>
  </w:style>
  <w:style w:type="paragraph" w:styleId="BalloonText">
    <w:name w:val="Balloon Text"/>
    <w:basedOn w:val="Normal"/>
    <w:link w:val="BalloonTextChar"/>
    <w:uiPriority w:val="99"/>
    <w:semiHidden/>
    <w:unhideWhenUsed/>
    <w:rsid w:val="002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27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299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99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993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A49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94C"/>
    <w:rPr>
      <w:rFonts w:ascii="Arial" w:hAnsi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5b7736e9-9df8-49a6-b09e-9141c6f3dbe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C14406D4BFF448E48B025780181B9" ma:contentTypeVersion="0" ma:contentTypeDescription="Create a new document." ma:contentTypeScope="" ma:versionID="8f41b74c24858ff2ecd063f40eb0cd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CD75D-B336-4F87-8287-2A1D39A53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76901-BBB2-456E-B7DD-929DE505F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7BF5B-AB02-4378-ABF8-642A8DE52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4F752-6D17-464B-AEA6-3935BB256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Oversight of BAs – Guidance</vt:lpstr>
    </vt:vector>
  </TitlesOfParts>
  <Company>DHCS and CDPH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Oversight of BAs – Guidance</dc:title>
  <dc:subject>Oversight of Business Associates – Considerations for Compliance</dc:subject>
  <dc:creator>California Health &amp; Human Services Agency</dc:creator>
  <cp:keywords>California Health &amp; Human Services Agency; Oversight of BAs – Guidance</cp:keywords>
  <cp:lastModifiedBy>Allyant Remediation Services</cp:lastModifiedBy>
  <cp:revision>10</cp:revision>
  <cp:lastPrinted>2016-05-11T15:02:00Z</cp:lastPrinted>
  <dcterms:created xsi:type="dcterms:W3CDTF">2023-03-13T17:08:00Z</dcterms:created>
  <dcterms:modified xsi:type="dcterms:W3CDTF">2023-05-08T18:52:00Z</dcterms:modified>
  <cp:category>Oversight of Business Associates – Considerations for Compliance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0x010100D75C14406D4BFF448E48B025780181B9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