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F818C" w14:textId="77777777" w:rsidR="00EC7E3A" w:rsidRPr="005770B4" w:rsidRDefault="00EC7E3A" w:rsidP="002C799F">
      <w:pPr>
        <w:spacing w:before="120" w:after="240"/>
        <w:rPr>
          <w:rFonts w:ascii="Arial" w:hAnsi="Arial" w:cs="Arial"/>
          <w:b/>
          <w:sz w:val="28"/>
          <w:szCs w:val="28"/>
        </w:rPr>
      </w:pPr>
      <w:r w:rsidRPr="005770B4">
        <w:rPr>
          <w:rFonts w:ascii="Arial" w:hAnsi="Arial" w:cs="Arial"/>
          <w:b/>
          <w:sz w:val="28"/>
          <w:szCs w:val="28"/>
        </w:rPr>
        <w:t>Introduction</w:t>
      </w:r>
    </w:p>
    <w:p w14:paraId="5D49D750" w14:textId="77777777" w:rsidR="002C799F" w:rsidRPr="005770B4" w:rsidRDefault="00EC7E3A" w:rsidP="002C799F">
      <w:pPr>
        <w:rPr>
          <w:rFonts w:ascii="Arial" w:hAnsi="Arial" w:cs="Arial"/>
          <w:sz w:val="24"/>
          <w:szCs w:val="24"/>
        </w:rPr>
      </w:pPr>
      <w:r w:rsidRPr="005770B4">
        <w:rPr>
          <w:rFonts w:ascii="Arial" w:hAnsi="Arial" w:cs="Arial"/>
          <w:sz w:val="24"/>
          <w:szCs w:val="24"/>
        </w:rPr>
        <w:t>State departments are seeking Cloud Computing Service Providers (CSPs) to complement their technology solutions.</w:t>
      </w:r>
      <w:r w:rsidR="004F739D" w:rsidRPr="005770B4">
        <w:rPr>
          <w:rFonts w:ascii="Arial" w:hAnsi="Arial" w:cs="Arial"/>
          <w:sz w:val="24"/>
          <w:szCs w:val="24"/>
        </w:rPr>
        <w:t xml:space="preserve">  </w:t>
      </w:r>
      <w:r w:rsidR="002C799F" w:rsidRPr="005770B4">
        <w:rPr>
          <w:rFonts w:ascii="Arial" w:hAnsi="Arial" w:cs="Arial"/>
          <w:sz w:val="24"/>
          <w:szCs w:val="24"/>
        </w:rPr>
        <w:t xml:space="preserve">U.S. Department of Health and Human Services (HHS), Office for Civil Rights (OCR) </w:t>
      </w:r>
      <w:r w:rsidR="004F739D" w:rsidRPr="005770B4">
        <w:rPr>
          <w:rFonts w:ascii="Arial" w:hAnsi="Arial" w:cs="Arial"/>
          <w:sz w:val="24"/>
          <w:szCs w:val="24"/>
        </w:rPr>
        <w:t>“</w:t>
      </w:r>
      <w:hyperlink r:id="rId7" w:history="1">
        <w:r w:rsidR="002C799F" w:rsidRPr="005770B4">
          <w:rPr>
            <w:rStyle w:val="Hyperlink"/>
            <w:rFonts w:ascii="Arial" w:hAnsi="Arial" w:cs="Arial"/>
            <w:sz w:val="24"/>
            <w:szCs w:val="24"/>
          </w:rPr>
          <w:t>Guidance on HIPAA and Cloud Computing</w:t>
        </w:r>
      </w:hyperlink>
      <w:r w:rsidR="004F739D" w:rsidRPr="005770B4">
        <w:rPr>
          <w:rFonts w:ascii="Arial" w:hAnsi="Arial" w:cs="Arial"/>
          <w:sz w:val="24"/>
          <w:szCs w:val="24"/>
        </w:rPr>
        <w:t xml:space="preserve">” </w:t>
      </w:r>
      <w:r w:rsidR="002C799F" w:rsidRPr="005770B4">
        <w:rPr>
          <w:rFonts w:ascii="Arial" w:hAnsi="Arial" w:cs="Arial"/>
          <w:sz w:val="24"/>
          <w:szCs w:val="24"/>
        </w:rPr>
        <w:t xml:space="preserve">defines the specific guidance for CSPs and </w:t>
      </w:r>
      <w:r w:rsidR="004F739D" w:rsidRPr="005770B4">
        <w:rPr>
          <w:rFonts w:ascii="Arial" w:hAnsi="Arial" w:cs="Arial"/>
          <w:sz w:val="24"/>
          <w:szCs w:val="24"/>
        </w:rPr>
        <w:t>must be considered</w:t>
      </w:r>
      <w:r w:rsidR="002C799F" w:rsidRPr="005770B4">
        <w:rPr>
          <w:rFonts w:ascii="Arial" w:hAnsi="Arial" w:cs="Arial"/>
          <w:sz w:val="24"/>
          <w:szCs w:val="24"/>
        </w:rPr>
        <w:t xml:space="preserve"> for managing all contracts/relationships with CSPs.  </w:t>
      </w:r>
    </w:p>
    <w:p w14:paraId="74D5F0DA" w14:textId="77777777" w:rsidR="002C799F" w:rsidRPr="005770B4" w:rsidRDefault="004F739D" w:rsidP="002C799F">
      <w:pPr>
        <w:rPr>
          <w:rFonts w:ascii="Arial" w:hAnsi="Arial" w:cs="Arial"/>
          <w:sz w:val="24"/>
          <w:szCs w:val="24"/>
        </w:rPr>
      </w:pPr>
      <w:r w:rsidRPr="005770B4">
        <w:rPr>
          <w:rFonts w:ascii="Arial" w:hAnsi="Arial" w:cs="Arial"/>
          <w:sz w:val="24"/>
          <w:szCs w:val="24"/>
        </w:rPr>
        <w:t xml:space="preserve">One area not covered in the HHS/OCR guidance is working with a “reseller” </w:t>
      </w:r>
      <w:r w:rsidR="002C799F" w:rsidRPr="005770B4">
        <w:rPr>
          <w:rFonts w:ascii="Arial" w:hAnsi="Arial" w:cs="Arial"/>
          <w:sz w:val="24"/>
          <w:szCs w:val="24"/>
        </w:rPr>
        <w:t xml:space="preserve">who has a direct relationship with the CSP.  In this scenario, the state department contracts with the reseller for the </w:t>
      </w:r>
      <w:r w:rsidRPr="005770B4">
        <w:rPr>
          <w:rFonts w:ascii="Arial" w:hAnsi="Arial" w:cs="Arial"/>
          <w:sz w:val="24"/>
          <w:szCs w:val="24"/>
        </w:rPr>
        <w:t xml:space="preserve">cloud computing </w:t>
      </w:r>
      <w:r w:rsidR="002C799F" w:rsidRPr="005770B4">
        <w:rPr>
          <w:rFonts w:ascii="Arial" w:hAnsi="Arial" w:cs="Arial"/>
          <w:sz w:val="24"/>
          <w:szCs w:val="24"/>
        </w:rPr>
        <w:t xml:space="preserve">services of a CSP company.  </w:t>
      </w:r>
    </w:p>
    <w:p w14:paraId="4E85BE66" w14:textId="77777777" w:rsidR="00EC7E3A" w:rsidRPr="005770B4" w:rsidRDefault="00E7750B">
      <w:pPr>
        <w:rPr>
          <w:rFonts w:ascii="Arial" w:hAnsi="Arial" w:cs="Arial"/>
          <w:sz w:val="24"/>
          <w:szCs w:val="24"/>
        </w:rPr>
      </w:pPr>
      <w:r w:rsidRPr="005770B4">
        <w:rPr>
          <w:rFonts w:ascii="Arial" w:hAnsi="Arial" w:cs="Arial"/>
          <w:sz w:val="24"/>
          <w:szCs w:val="24"/>
        </w:rPr>
        <w:t xml:space="preserve">For state departments that are </w:t>
      </w:r>
      <w:r w:rsidR="004F739D" w:rsidRPr="005770B4">
        <w:rPr>
          <w:rFonts w:ascii="Arial" w:hAnsi="Arial" w:cs="Arial"/>
          <w:sz w:val="24"/>
          <w:szCs w:val="24"/>
        </w:rPr>
        <w:t>Health Insurance Portability and Accountability Act (</w:t>
      </w:r>
      <w:r w:rsidRPr="005770B4">
        <w:rPr>
          <w:rFonts w:ascii="Arial" w:hAnsi="Arial" w:cs="Arial"/>
          <w:sz w:val="24"/>
          <w:szCs w:val="24"/>
        </w:rPr>
        <w:t>HIPAA</w:t>
      </w:r>
      <w:r w:rsidR="004F739D" w:rsidRPr="005770B4">
        <w:rPr>
          <w:rFonts w:ascii="Arial" w:hAnsi="Arial" w:cs="Arial"/>
          <w:sz w:val="24"/>
          <w:szCs w:val="24"/>
        </w:rPr>
        <w:t>)</w:t>
      </w:r>
      <w:r w:rsidRPr="005770B4">
        <w:rPr>
          <w:rFonts w:ascii="Arial" w:hAnsi="Arial" w:cs="Arial"/>
          <w:sz w:val="24"/>
          <w:szCs w:val="24"/>
        </w:rPr>
        <w:t xml:space="preserve"> covered entities (CE) or business associates (BA), HIPAA obligations must be addressed to ensure the privacy and security of </w:t>
      </w:r>
      <w:r w:rsidR="004F739D" w:rsidRPr="005770B4">
        <w:rPr>
          <w:rFonts w:ascii="Arial" w:hAnsi="Arial" w:cs="Arial"/>
          <w:sz w:val="24"/>
          <w:szCs w:val="24"/>
        </w:rPr>
        <w:t>electronic Protected Health Information (</w:t>
      </w:r>
      <w:r w:rsidRPr="005770B4">
        <w:rPr>
          <w:rFonts w:ascii="Arial" w:hAnsi="Arial" w:cs="Arial"/>
          <w:sz w:val="24"/>
          <w:szCs w:val="24"/>
        </w:rPr>
        <w:t>ePHI</w:t>
      </w:r>
      <w:r w:rsidR="004F739D" w:rsidRPr="005770B4">
        <w:rPr>
          <w:rFonts w:ascii="Arial" w:hAnsi="Arial" w:cs="Arial"/>
          <w:sz w:val="24"/>
          <w:szCs w:val="24"/>
        </w:rPr>
        <w:t>)</w:t>
      </w:r>
      <w:r w:rsidRPr="005770B4">
        <w:rPr>
          <w:rFonts w:ascii="Arial" w:hAnsi="Arial" w:cs="Arial"/>
          <w:sz w:val="24"/>
          <w:szCs w:val="24"/>
        </w:rPr>
        <w:t xml:space="preserve"> – specifically,</w:t>
      </w:r>
      <w:r w:rsidR="004F739D" w:rsidRPr="005770B4">
        <w:rPr>
          <w:rFonts w:ascii="Arial" w:hAnsi="Arial" w:cs="Arial"/>
          <w:sz w:val="24"/>
          <w:szCs w:val="24"/>
        </w:rPr>
        <w:t xml:space="preserve"> which entity or entities</w:t>
      </w:r>
      <w:r w:rsidRPr="005770B4">
        <w:rPr>
          <w:rFonts w:ascii="Arial" w:hAnsi="Arial" w:cs="Arial"/>
          <w:sz w:val="24"/>
          <w:szCs w:val="24"/>
        </w:rPr>
        <w:t xml:space="preserve"> in the CSP cont</w:t>
      </w:r>
      <w:r w:rsidR="00561C65" w:rsidRPr="005770B4">
        <w:rPr>
          <w:rFonts w:ascii="Arial" w:hAnsi="Arial" w:cs="Arial"/>
          <w:sz w:val="24"/>
          <w:szCs w:val="24"/>
        </w:rPr>
        <w:t>r</w:t>
      </w:r>
      <w:r w:rsidRPr="005770B4">
        <w:rPr>
          <w:rFonts w:ascii="Arial" w:hAnsi="Arial" w:cs="Arial"/>
          <w:sz w:val="24"/>
          <w:szCs w:val="24"/>
        </w:rPr>
        <w:t>acting relationship should sign the Business Associate Agreement (BAA).</w:t>
      </w:r>
    </w:p>
    <w:p w14:paraId="7BE63BC6" w14:textId="77777777" w:rsidR="00EC7E3A" w:rsidRPr="005770B4" w:rsidRDefault="00EC7E3A" w:rsidP="002C799F">
      <w:pPr>
        <w:spacing w:before="120" w:after="240"/>
        <w:rPr>
          <w:rFonts w:ascii="Arial" w:hAnsi="Arial" w:cs="Arial"/>
          <w:b/>
          <w:sz w:val="28"/>
          <w:szCs w:val="28"/>
        </w:rPr>
      </w:pPr>
      <w:r w:rsidRPr="005770B4">
        <w:rPr>
          <w:rFonts w:ascii="Arial" w:hAnsi="Arial" w:cs="Arial"/>
          <w:b/>
          <w:sz w:val="28"/>
          <w:szCs w:val="28"/>
        </w:rPr>
        <w:t>Guidance</w:t>
      </w:r>
    </w:p>
    <w:p w14:paraId="4A900A46" w14:textId="77777777" w:rsidR="002C799F" w:rsidRPr="005770B4" w:rsidRDefault="004F739D" w:rsidP="002C799F">
      <w:pPr>
        <w:rPr>
          <w:rFonts w:ascii="Arial" w:hAnsi="Arial" w:cs="Arial"/>
          <w:sz w:val="24"/>
          <w:szCs w:val="24"/>
        </w:rPr>
      </w:pPr>
      <w:r w:rsidRPr="005770B4">
        <w:rPr>
          <w:rFonts w:ascii="Arial" w:hAnsi="Arial" w:cs="Arial"/>
          <w:sz w:val="24"/>
          <w:szCs w:val="24"/>
        </w:rPr>
        <w:t xml:space="preserve">The </w:t>
      </w:r>
      <w:r w:rsidR="00086ADD">
        <w:rPr>
          <w:rFonts w:ascii="Arial" w:hAnsi="Arial" w:cs="Arial"/>
          <w:sz w:val="24"/>
          <w:szCs w:val="24"/>
        </w:rPr>
        <w:t>Center for Data Insights and Innovation (CD</w:t>
      </w:r>
      <w:r w:rsidRPr="005770B4">
        <w:rPr>
          <w:rFonts w:ascii="Arial" w:hAnsi="Arial" w:cs="Arial"/>
          <w:sz w:val="24"/>
          <w:szCs w:val="24"/>
        </w:rPr>
        <w:t xml:space="preserve">II) provides the following guidance on </w:t>
      </w:r>
      <w:r w:rsidR="002C799F" w:rsidRPr="005770B4">
        <w:rPr>
          <w:rFonts w:ascii="Arial" w:hAnsi="Arial" w:cs="Arial"/>
          <w:sz w:val="24"/>
          <w:szCs w:val="24"/>
        </w:rPr>
        <w:t>how to navigate the contracting arrangements with a reseller</w:t>
      </w:r>
      <w:r w:rsidRPr="005770B4">
        <w:rPr>
          <w:rFonts w:ascii="Arial" w:hAnsi="Arial" w:cs="Arial"/>
          <w:sz w:val="24"/>
          <w:szCs w:val="24"/>
        </w:rPr>
        <w:t xml:space="preserve"> of CSP services, focusing </w:t>
      </w:r>
      <w:r w:rsidR="002C799F" w:rsidRPr="005770B4">
        <w:rPr>
          <w:rFonts w:ascii="Arial" w:hAnsi="Arial" w:cs="Arial"/>
          <w:sz w:val="24"/>
          <w:szCs w:val="24"/>
        </w:rPr>
        <w:t xml:space="preserve">specifically </w:t>
      </w:r>
      <w:r w:rsidR="00ED760C">
        <w:rPr>
          <w:rFonts w:ascii="Arial" w:hAnsi="Arial" w:cs="Arial"/>
          <w:sz w:val="24"/>
          <w:szCs w:val="24"/>
        </w:rPr>
        <w:t xml:space="preserve">on </w:t>
      </w:r>
      <w:r w:rsidR="002C799F" w:rsidRPr="005770B4">
        <w:rPr>
          <w:rFonts w:ascii="Arial" w:hAnsi="Arial" w:cs="Arial"/>
          <w:sz w:val="24"/>
          <w:szCs w:val="24"/>
        </w:rPr>
        <w:t xml:space="preserve">who signs the BAA.  </w:t>
      </w:r>
    </w:p>
    <w:p w14:paraId="12E6F646" w14:textId="77777777" w:rsidR="00E7750B" w:rsidRPr="005770B4" w:rsidRDefault="00A608AB">
      <w:pPr>
        <w:rPr>
          <w:rFonts w:ascii="Arial" w:hAnsi="Arial" w:cs="Arial"/>
          <w:sz w:val="24"/>
          <w:szCs w:val="24"/>
        </w:rPr>
      </w:pPr>
      <w:r w:rsidRPr="005770B4">
        <w:rPr>
          <w:rFonts w:ascii="Arial" w:hAnsi="Arial" w:cs="Arial"/>
          <w:sz w:val="24"/>
          <w:szCs w:val="24"/>
        </w:rPr>
        <w:t>There are three parties in this CSP</w:t>
      </w:r>
      <w:r w:rsidR="00E7750B" w:rsidRPr="005770B4">
        <w:rPr>
          <w:rFonts w:ascii="Arial" w:hAnsi="Arial" w:cs="Arial"/>
          <w:sz w:val="24"/>
          <w:szCs w:val="24"/>
        </w:rPr>
        <w:t xml:space="preserve"> arrangement:</w:t>
      </w:r>
    </w:p>
    <w:p w14:paraId="4182A2E9" w14:textId="77777777" w:rsidR="00E7750B" w:rsidRPr="005770B4" w:rsidRDefault="004F739D" w:rsidP="00E7750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770B4">
        <w:rPr>
          <w:rFonts w:ascii="Arial" w:hAnsi="Arial" w:cs="Arial"/>
          <w:b/>
          <w:i/>
          <w:sz w:val="24"/>
          <w:szCs w:val="24"/>
        </w:rPr>
        <w:t>HIPAA</w:t>
      </w:r>
      <w:r w:rsidR="00A608AB" w:rsidRPr="005770B4">
        <w:rPr>
          <w:rFonts w:ascii="Arial" w:hAnsi="Arial" w:cs="Arial"/>
          <w:b/>
          <w:i/>
          <w:sz w:val="24"/>
          <w:szCs w:val="24"/>
        </w:rPr>
        <w:t xml:space="preserve"> CE/BA s</w:t>
      </w:r>
      <w:r w:rsidR="00E7750B" w:rsidRPr="005770B4">
        <w:rPr>
          <w:rFonts w:ascii="Arial" w:hAnsi="Arial" w:cs="Arial"/>
          <w:b/>
          <w:i/>
          <w:sz w:val="24"/>
          <w:szCs w:val="24"/>
        </w:rPr>
        <w:t>tate entity</w:t>
      </w:r>
      <w:r w:rsidR="00E7750B" w:rsidRPr="005770B4">
        <w:rPr>
          <w:rFonts w:ascii="Arial" w:hAnsi="Arial" w:cs="Arial"/>
          <w:sz w:val="24"/>
          <w:szCs w:val="24"/>
        </w:rPr>
        <w:t xml:space="preserve"> initiating the contract for CSP services</w:t>
      </w:r>
    </w:p>
    <w:p w14:paraId="4BB0A96C" w14:textId="77777777" w:rsidR="00E7750B" w:rsidRPr="005770B4" w:rsidRDefault="00E7750B" w:rsidP="00E7750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770B4">
        <w:rPr>
          <w:rFonts w:ascii="Arial" w:hAnsi="Arial" w:cs="Arial"/>
          <w:b/>
          <w:i/>
          <w:sz w:val="24"/>
          <w:szCs w:val="24"/>
        </w:rPr>
        <w:t>Reseller</w:t>
      </w:r>
      <w:r w:rsidRPr="005770B4">
        <w:rPr>
          <w:rFonts w:ascii="Arial" w:hAnsi="Arial" w:cs="Arial"/>
          <w:sz w:val="24"/>
          <w:szCs w:val="24"/>
        </w:rPr>
        <w:t xml:space="preserve"> </w:t>
      </w:r>
      <w:r w:rsidR="00892D87" w:rsidRPr="005770B4">
        <w:rPr>
          <w:rFonts w:ascii="Arial" w:hAnsi="Arial" w:cs="Arial"/>
          <w:sz w:val="24"/>
          <w:szCs w:val="24"/>
        </w:rPr>
        <w:t>signing the contract/purchase order agreement with the state entity – acting as an intermediary for billing and customer support with the CSP</w:t>
      </w:r>
    </w:p>
    <w:p w14:paraId="536079D6" w14:textId="77777777" w:rsidR="00E7750B" w:rsidRPr="005770B4" w:rsidRDefault="00E7750B" w:rsidP="00E7750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770B4">
        <w:rPr>
          <w:rFonts w:ascii="Arial" w:hAnsi="Arial" w:cs="Arial"/>
          <w:b/>
          <w:i/>
          <w:sz w:val="24"/>
          <w:szCs w:val="24"/>
        </w:rPr>
        <w:t xml:space="preserve">CSP </w:t>
      </w:r>
      <w:r w:rsidR="00A608AB" w:rsidRPr="005770B4">
        <w:rPr>
          <w:rFonts w:ascii="Arial" w:hAnsi="Arial" w:cs="Arial"/>
          <w:sz w:val="24"/>
          <w:szCs w:val="24"/>
        </w:rPr>
        <w:t>delivering the cloud computing solution</w:t>
      </w:r>
      <w:r w:rsidR="00892D87" w:rsidRPr="005770B4">
        <w:rPr>
          <w:rFonts w:ascii="Arial" w:hAnsi="Arial" w:cs="Arial"/>
          <w:sz w:val="24"/>
          <w:szCs w:val="24"/>
        </w:rPr>
        <w:t xml:space="preserve"> for the state entity</w:t>
      </w:r>
    </w:p>
    <w:p w14:paraId="372EEC45" w14:textId="77777777" w:rsidR="00A608AB" w:rsidRPr="005770B4" w:rsidRDefault="00A608AB" w:rsidP="00892D87">
      <w:pPr>
        <w:rPr>
          <w:rFonts w:ascii="Arial" w:hAnsi="Arial" w:cs="Arial"/>
          <w:sz w:val="24"/>
          <w:szCs w:val="24"/>
        </w:rPr>
      </w:pPr>
      <w:r w:rsidRPr="005770B4">
        <w:rPr>
          <w:rFonts w:ascii="Arial" w:hAnsi="Arial" w:cs="Arial"/>
          <w:sz w:val="24"/>
          <w:szCs w:val="24"/>
        </w:rPr>
        <w:t>Who signs the BAA?</w:t>
      </w:r>
    </w:p>
    <w:p w14:paraId="1E2AF1A1" w14:textId="77777777" w:rsidR="00A608AB" w:rsidRPr="005770B4" w:rsidRDefault="00A608AB" w:rsidP="00892D87">
      <w:pPr>
        <w:rPr>
          <w:rFonts w:ascii="Arial" w:hAnsi="Arial" w:cs="Arial"/>
          <w:sz w:val="24"/>
          <w:szCs w:val="24"/>
        </w:rPr>
      </w:pPr>
      <w:r w:rsidRPr="005770B4">
        <w:rPr>
          <w:rFonts w:ascii="Arial" w:hAnsi="Arial" w:cs="Arial"/>
          <w:b/>
          <w:i/>
          <w:sz w:val="24"/>
          <w:szCs w:val="24"/>
        </w:rPr>
        <w:t xml:space="preserve">In all cases, the CSP </w:t>
      </w:r>
      <w:r w:rsidRPr="005770B4">
        <w:rPr>
          <w:rFonts w:ascii="Arial" w:hAnsi="Arial" w:cs="Arial"/>
          <w:b/>
          <w:i/>
          <w:sz w:val="24"/>
          <w:szCs w:val="24"/>
          <w:u w:val="single"/>
        </w:rPr>
        <w:t>must</w:t>
      </w:r>
      <w:r w:rsidRPr="005770B4">
        <w:rPr>
          <w:rFonts w:ascii="Arial" w:hAnsi="Arial" w:cs="Arial"/>
          <w:b/>
          <w:i/>
          <w:sz w:val="24"/>
          <w:szCs w:val="24"/>
        </w:rPr>
        <w:t xml:space="preserve"> sign the BAA</w:t>
      </w:r>
      <w:r w:rsidRPr="005770B4">
        <w:rPr>
          <w:rFonts w:ascii="Arial" w:hAnsi="Arial" w:cs="Arial"/>
          <w:sz w:val="24"/>
          <w:szCs w:val="24"/>
        </w:rPr>
        <w:t xml:space="preserve"> – since they are creating, receiving, maintaining, or transmitting the ePHI</w:t>
      </w:r>
      <w:r w:rsidR="00AE7F8D" w:rsidRPr="005770B4">
        <w:rPr>
          <w:rFonts w:ascii="Arial" w:hAnsi="Arial" w:cs="Arial"/>
          <w:sz w:val="24"/>
          <w:szCs w:val="24"/>
        </w:rPr>
        <w:t>, whether encrypted or not,</w:t>
      </w:r>
      <w:r w:rsidRPr="005770B4">
        <w:rPr>
          <w:rFonts w:ascii="Arial" w:hAnsi="Arial" w:cs="Arial"/>
          <w:sz w:val="24"/>
          <w:szCs w:val="24"/>
        </w:rPr>
        <w:t xml:space="preserve"> for the CE/BA state entity.</w:t>
      </w:r>
    </w:p>
    <w:p w14:paraId="708469CE" w14:textId="77777777" w:rsidR="00A608AB" w:rsidRPr="005770B4" w:rsidRDefault="004F739D" w:rsidP="00892D87">
      <w:pPr>
        <w:rPr>
          <w:rFonts w:ascii="Arial" w:hAnsi="Arial" w:cs="Arial"/>
          <w:sz w:val="24"/>
          <w:szCs w:val="24"/>
        </w:rPr>
      </w:pPr>
      <w:r w:rsidRPr="005770B4">
        <w:rPr>
          <w:rFonts w:ascii="Arial" w:hAnsi="Arial" w:cs="Arial"/>
          <w:sz w:val="24"/>
          <w:szCs w:val="24"/>
        </w:rPr>
        <w:t xml:space="preserve">To determine whether the </w:t>
      </w:r>
      <w:r w:rsidR="00A608AB" w:rsidRPr="005770B4">
        <w:rPr>
          <w:rFonts w:ascii="Arial" w:hAnsi="Arial" w:cs="Arial"/>
          <w:sz w:val="24"/>
          <w:szCs w:val="24"/>
        </w:rPr>
        <w:t>reseller should sign a BAA, consider the following:</w:t>
      </w:r>
    </w:p>
    <w:p w14:paraId="22DBE625" w14:textId="77777777" w:rsidR="00A608AB" w:rsidRPr="005770B4" w:rsidRDefault="00A608AB" w:rsidP="002C799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770B4">
        <w:rPr>
          <w:rFonts w:ascii="Arial" w:hAnsi="Arial" w:cs="Arial"/>
          <w:sz w:val="24"/>
          <w:szCs w:val="24"/>
        </w:rPr>
        <w:t xml:space="preserve">Does the reseller ONLY provide </w:t>
      </w:r>
      <w:r w:rsidR="003456D7" w:rsidRPr="005770B4">
        <w:rPr>
          <w:rFonts w:ascii="Arial" w:hAnsi="Arial" w:cs="Arial"/>
          <w:sz w:val="24"/>
          <w:szCs w:val="24"/>
        </w:rPr>
        <w:t>the state entity with CSP relationship support, such as the point of contact for payment and contracting</w:t>
      </w:r>
      <w:r w:rsidRPr="005770B4">
        <w:rPr>
          <w:rFonts w:ascii="Arial" w:hAnsi="Arial" w:cs="Arial"/>
          <w:sz w:val="24"/>
          <w:szCs w:val="24"/>
        </w:rPr>
        <w:t>?</w:t>
      </w:r>
    </w:p>
    <w:p w14:paraId="6918D8E7" w14:textId="77777777" w:rsidR="00A608AB" w:rsidRPr="005770B4" w:rsidRDefault="00A608AB" w:rsidP="00A608AB">
      <w:pPr>
        <w:ind w:left="720"/>
        <w:rPr>
          <w:rFonts w:ascii="Arial" w:hAnsi="Arial" w:cs="Arial"/>
          <w:sz w:val="24"/>
          <w:szCs w:val="24"/>
        </w:rPr>
      </w:pPr>
      <w:r w:rsidRPr="005770B4">
        <w:rPr>
          <w:rFonts w:ascii="Arial" w:hAnsi="Arial" w:cs="Arial"/>
          <w:sz w:val="24"/>
          <w:szCs w:val="24"/>
        </w:rPr>
        <w:t xml:space="preserve">YES, </w:t>
      </w:r>
      <w:r w:rsidR="002C799F" w:rsidRPr="005770B4">
        <w:rPr>
          <w:rFonts w:ascii="Arial" w:hAnsi="Arial" w:cs="Arial"/>
          <w:sz w:val="24"/>
          <w:szCs w:val="24"/>
        </w:rPr>
        <w:t>no BAA is needed.</w:t>
      </w:r>
    </w:p>
    <w:p w14:paraId="79461059" w14:textId="77777777" w:rsidR="002C799F" w:rsidRPr="005770B4" w:rsidRDefault="002C799F" w:rsidP="00A608AB">
      <w:pPr>
        <w:ind w:left="720"/>
        <w:rPr>
          <w:rFonts w:ascii="Arial" w:hAnsi="Arial" w:cs="Arial"/>
          <w:sz w:val="24"/>
          <w:szCs w:val="24"/>
        </w:rPr>
      </w:pPr>
      <w:r w:rsidRPr="005770B4">
        <w:rPr>
          <w:rFonts w:ascii="Arial" w:hAnsi="Arial" w:cs="Arial"/>
          <w:sz w:val="24"/>
          <w:szCs w:val="24"/>
        </w:rPr>
        <w:t>NO, see next question.</w:t>
      </w:r>
    </w:p>
    <w:p w14:paraId="0FEE1EE5" w14:textId="77777777" w:rsidR="007A41E3" w:rsidRPr="005770B4" w:rsidRDefault="002C799F" w:rsidP="00B6662E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770B4">
        <w:rPr>
          <w:rFonts w:ascii="Arial" w:hAnsi="Arial" w:cs="Arial"/>
          <w:sz w:val="24"/>
          <w:szCs w:val="24"/>
        </w:rPr>
        <w:lastRenderedPageBreak/>
        <w:t xml:space="preserve">Does the </w:t>
      </w:r>
      <w:r w:rsidR="00A608AB" w:rsidRPr="005770B4">
        <w:rPr>
          <w:rFonts w:ascii="Arial" w:hAnsi="Arial" w:cs="Arial"/>
          <w:sz w:val="24"/>
          <w:szCs w:val="24"/>
        </w:rPr>
        <w:t xml:space="preserve">reseller </w:t>
      </w:r>
      <w:r w:rsidRPr="005770B4">
        <w:rPr>
          <w:rFonts w:ascii="Arial" w:hAnsi="Arial" w:cs="Arial"/>
          <w:sz w:val="24"/>
          <w:szCs w:val="24"/>
        </w:rPr>
        <w:t>provide or support any</w:t>
      </w:r>
      <w:r w:rsidR="00A608AB" w:rsidRPr="005770B4">
        <w:rPr>
          <w:rFonts w:ascii="Arial" w:hAnsi="Arial" w:cs="Arial"/>
          <w:sz w:val="24"/>
          <w:szCs w:val="24"/>
        </w:rPr>
        <w:t xml:space="preserve"> Treatment, Payment or Operation (TPO) services</w:t>
      </w:r>
      <w:r w:rsidRPr="005770B4">
        <w:rPr>
          <w:rFonts w:ascii="Arial" w:hAnsi="Arial" w:cs="Arial"/>
          <w:sz w:val="24"/>
          <w:szCs w:val="24"/>
        </w:rPr>
        <w:t xml:space="preserve"> between the state entity and CSP?</w:t>
      </w:r>
      <w:r w:rsidR="00AE7F8D" w:rsidRPr="005770B4">
        <w:rPr>
          <w:rFonts w:ascii="Arial" w:hAnsi="Arial" w:cs="Arial"/>
          <w:sz w:val="24"/>
          <w:szCs w:val="24"/>
        </w:rPr>
        <w:t xml:space="preserve"> </w:t>
      </w:r>
      <w:r w:rsidR="003456D7" w:rsidRPr="005770B4">
        <w:rPr>
          <w:rFonts w:ascii="Arial" w:hAnsi="Arial" w:cs="Arial"/>
          <w:sz w:val="24"/>
          <w:szCs w:val="24"/>
        </w:rPr>
        <w:t>Specifically</w:t>
      </w:r>
      <w:r w:rsidR="00AE7F8D" w:rsidRPr="005770B4">
        <w:rPr>
          <w:rFonts w:ascii="Arial" w:hAnsi="Arial" w:cs="Arial"/>
          <w:sz w:val="24"/>
          <w:szCs w:val="24"/>
        </w:rPr>
        <w:t>, does the reseller have any access to ePHI, whether encrypted or not?</w:t>
      </w:r>
      <w:r w:rsidR="007A41E3" w:rsidRPr="005770B4">
        <w:rPr>
          <w:rFonts w:ascii="Arial" w:hAnsi="Arial" w:cs="Arial"/>
          <w:sz w:val="24"/>
          <w:szCs w:val="24"/>
        </w:rPr>
        <w:t xml:space="preserve"> Note: for more information regarding TPO services, refer to HHS/OCR guidance on “</w:t>
      </w:r>
      <w:hyperlink r:id="rId8" w:history="1">
        <w:r w:rsidR="007A41E3" w:rsidRPr="005770B4">
          <w:rPr>
            <w:rStyle w:val="Hyperlink"/>
            <w:rFonts w:ascii="Arial" w:hAnsi="Arial" w:cs="Arial"/>
            <w:sz w:val="24"/>
            <w:szCs w:val="24"/>
          </w:rPr>
          <w:t>Uses and Disclosures for Treatment, Payment, and Health Care Operations</w:t>
        </w:r>
      </w:hyperlink>
      <w:r w:rsidR="007A41E3" w:rsidRPr="005770B4">
        <w:rPr>
          <w:rFonts w:ascii="Arial" w:hAnsi="Arial" w:cs="Arial"/>
          <w:sz w:val="24"/>
          <w:szCs w:val="24"/>
        </w:rPr>
        <w:t>.”</w:t>
      </w:r>
    </w:p>
    <w:p w14:paraId="3D23F4B5" w14:textId="77777777" w:rsidR="002C799F" w:rsidRPr="005770B4" w:rsidRDefault="002C799F" w:rsidP="002C799F">
      <w:pPr>
        <w:ind w:left="720"/>
        <w:rPr>
          <w:rFonts w:ascii="Arial" w:hAnsi="Arial" w:cs="Arial"/>
          <w:sz w:val="24"/>
          <w:szCs w:val="24"/>
        </w:rPr>
      </w:pPr>
      <w:r w:rsidRPr="005770B4">
        <w:rPr>
          <w:rFonts w:ascii="Arial" w:hAnsi="Arial" w:cs="Arial"/>
          <w:sz w:val="24"/>
          <w:szCs w:val="24"/>
        </w:rPr>
        <w:t>NO, no BAA needed.</w:t>
      </w:r>
    </w:p>
    <w:p w14:paraId="00B8797D" w14:textId="37D11511" w:rsidR="00EC7E3A" w:rsidRPr="005770B4" w:rsidRDefault="002C799F" w:rsidP="003E126E">
      <w:pPr>
        <w:ind w:left="720"/>
        <w:rPr>
          <w:rFonts w:ascii="Arial" w:hAnsi="Arial" w:cs="Arial"/>
          <w:sz w:val="24"/>
          <w:szCs w:val="24"/>
        </w:rPr>
      </w:pPr>
      <w:r w:rsidRPr="005770B4">
        <w:rPr>
          <w:rFonts w:ascii="Arial" w:hAnsi="Arial" w:cs="Arial"/>
          <w:sz w:val="24"/>
          <w:szCs w:val="24"/>
        </w:rPr>
        <w:t>YES, a BAA with the reseller is needed.</w:t>
      </w:r>
    </w:p>
    <w:sectPr w:rsidR="00EC7E3A" w:rsidRPr="005770B4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6FF66" w14:textId="77777777" w:rsidR="007372F6" w:rsidRDefault="007372F6" w:rsidP="002C799F">
      <w:pPr>
        <w:spacing w:after="0" w:line="240" w:lineRule="auto"/>
      </w:pPr>
      <w:r>
        <w:separator/>
      </w:r>
    </w:p>
  </w:endnote>
  <w:endnote w:type="continuationSeparator" w:id="0">
    <w:p w14:paraId="3FC71134" w14:textId="77777777" w:rsidR="007372F6" w:rsidRDefault="007372F6" w:rsidP="002C7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29500" w14:textId="77777777" w:rsidR="005770B4" w:rsidRDefault="005770B4" w:rsidP="005770B4">
    <w:pPr>
      <w:pStyle w:val="Header"/>
    </w:pPr>
  </w:p>
  <w:p w14:paraId="308B1B95" w14:textId="77777777" w:rsidR="005770B4" w:rsidRDefault="005770B4" w:rsidP="005770B4">
    <w:pPr>
      <w:pStyle w:val="Footer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Created 06/2021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086ADD" w:rsidRPr="00086ADD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63AE0343" w14:textId="77777777" w:rsidR="00561C65" w:rsidRPr="005770B4" w:rsidRDefault="00561C65" w:rsidP="005770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9641C" w14:textId="77777777" w:rsidR="007372F6" w:rsidRDefault="007372F6" w:rsidP="002C799F">
      <w:pPr>
        <w:spacing w:after="0" w:line="240" w:lineRule="auto"/>
      </w:pPr>
      <w:r>
        <w:separator/>
      </w:r>
    </w:p>
  </w:footnote>
  <w:footnote w:type="continuationSeparator" w:id="0">
    <w:p w14:paraId="28B2DA3E" w14:textId="77777777" w:rsidR="007372F6" w:rsidRDefault="007372F6" w:rsidP="002C7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EF76A" w14:textId="77777777" w:rsidR="005770B4" w:rsidRDefault="005770B4" w:rsidP="005770B4">
    <w:pPr>
      <w:pStyle w:val="Header"/>
      <w:pBdr>
        <w:bottom w:val="thickThinSmallGap" w:sz="24" w:space="1" w:color="823B0B" w:themeColor="accent2" w:themeShade="7F"/>
      </w:pBdr>
      <w:tabs>
        <w:tab w:val="clear" w:pos="9360"/>
        <w:tab w:val="right" w:pos="9990"/>
      </w:tabs>
      <w:jc w:val="center"/>
      <w:rPr>
        <w:rFonts w:asciiTheme="majorHAnsi" w:eastAsiaTheme="majorEastAsia" w:hAnsiTheme="majorHAnsi" w:cstheme="majorBidi"/>
        <w:sz w:val="32"/>
        <w:szCs w:val="32"/>
      </w:rPr>
    </w:pPr>
    <w:r w:rsidRPr="005770B4">
      <w:rPr>
        <w:rFonts w:asciiTheme="majorHAnsi" w:eastAsiaTheme="majorEastAsia" w:hAnsiTheme="majorHAnsi" w:cstheme="majorBidi"/>
        <w:sz w:val="28"/>
        <w:szCs w:val="28"/>
      </w:rPr>
      <w:t>Guidance on HIPAA and Resellers of Cloud Computing Services</w:t>
    </w:r>
    <w:r>
      <w:rPr>
        <w:rFonts w:asciiTheme="majorHAnsi" w:eastAsiaTheme="majorEastAsia" w:hAnsiTheme="majorHAnsi" w:cstheme="majorBidi"/>
        <w:sz w:val="28"/>
        <w:szCs w:val="28"/>
      </w:rPr>
      <w:t xml:space="preserve"> </w:t>
    </w:r>
    <w:r w:rsidR="00086ADD">
      <w:rPr>
        <w:rFonts w:ascii="Calibri" w:eastAsia="Times New Roman" w:hAnsi="Calibri" w:cs="Calibri"/>
        <w:noProof/>
        <w:color w:val="000000"/>
        <w:shd w:val="clear" w:color="auto" w:fill="FFFFFF"/>
      </w:rPr>
      <w:drawing>
        <wp:inline distT="0" distB="0" distL="0" distR="0" wp14:anchorId="6BA73D79" wp14:editId="09EE482A">
          <wp:extent cx="1264232" cy="514264"/>
          <wp:effectExtent l="0" t="0" r="0" b="635"/>
          <wp:docPr id="1" name="Picture 1" descr="cid:5b7736e9-9df8-49a6-b09e-9141c6f3dbe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5b7736e9-9df8-49a6-b09e-9141c6f3dbe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6442" cy="5232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ajorHAnsi" w:eastAsiaTheme="majorEastAsia" w:hAnsiTheme="majorHAnsi" w:cstheme="majorBidi"/>
        <w:sz w:val="32"/>
        <w:szCs w:val="32"/>
      </w:rPr>
      <w:t xml:space="preserve"> </w:t>
    </w:r>
  </w:p>
  <w:p w14:paraId="1C66788C" w14:textId="77777777" w:rsidR="00012040" w:rsidRDefault="00012040" w:rsidP="00012040">
    <w:pPr>
      <w:pStyle w:val="Header"/>
      <w:ind w:left="765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27CD2"/>
    <w:multiLevelType w:val="hybridMultilevel"/>
    <w:tmpl w:val="934A0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B017C"/>
    <w:multiLevelType w:val="hybridMultilevel"/>
    <w:tmpl w:val="4ED25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7F7EB2"/>
    <w:multiLevelType w:val="hybridMultilevel"/>
    <w:tmpl w:val="AF8C1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16078">
    <w:abstractNumId w:val="2"/>
  </w:num>
  <w:num w:numId="2" w16cid:durableId="808782876">
    <w:abstractNumId w:val="1"/>
  </w:num>
  <w:num w:numId="3" w16cid:durableId="1460611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E3A"/>
    <w:rsid w:val="000005A4"/>
    <w:rsid w:val="00012040"/>
    <w:rsid w:val="00045DAB"/>
    <w:rsid w:val="00086ADD"/>
    <w:rsid w:val="00102AAF"/>
    <w:rsid w:val="00156352"/>
    <w:rsid w:val="002C799F"/>
    <w:rsid w:val="003456D7"/>
    <w:rsid w:val="003E126E"/>
    <w:rsid w:val="004D496D"/>
    <w:rsid w:val="004F739D"/>
    <w:rsid w:val="00561C65"/>
    <w:rsid w:val="005770B4"/>
    <w:rsid w:val="00614626"/>
    <w:rsid w:val="007372F6"/>
    <w:rsid w:val="00745DA8"/>
    <w:rsid w:val="007A41E3"/>
    <w:rsid w:val="00837B10"/>
    <w:rsid w:val="00892D87"/>
    <w:rsid w:val="00A608AB"/>
    <w:rsid w:val="00AE7F8D"/>
    <w:rsid w:val="00E56001"/>
    <w:rsid w:val="00E7750B"/>
    <w:rsid w:val="00EC7E3A"/>
    <w:rsid w:val="00ED760C"/>
    <w:rsid w:val="00F8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504294F"/>
  <w15:chartTrackingRefBased/>
  <w15:docId w15:val="{F05C68EF-7A70-4A26-BD4A-532C5BDBF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A41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750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750B"/>
    <w:pPr>
      <w:ind w:left="720"/>
      <w:contextualSpacing/>
    </w:pPr>
  </w:style>
  <w:style w:type="table" w:styleId="TableGrid">
    <w:name w:val="Table Grid"/>
    <w:basedOn w:val="TableNormal"/>
    <w:uiPriority w:val="39"/>
    <w:rsid w:val="00A60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79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99F"/>
  </w:style>
  <w:style w:type="paragraph" w:styleId="Footer">
    <w:name w:val="footer"/>
    <w:basedOn w:val="Normal"/>
    <w:link w:val="FooterChar"/>
    <w:uiPriority w:val="99"/>
    <w:unhideWhenUsed/>
    <w:rsid w:val="002C79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99F"/>
  </w:style>
  <w:style w:type="character" w:styleId="CommentReference">
    <w:name w:val="annotation reference"/>
    <w:basedOn w:val="DefaultParagraphFont"/>
    <w:uiPriority w:val="99"/>
    <w:semiHidden/>
    <w:unhideWhenUsed/>
    <w:rsid w:val="00AE7F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7F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7F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7F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7F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F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F8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A41E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hs.gov/hipaa/for-professionals/privacy/guidance/disclosures-treatment-payment-health-care-operations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hs.gov/hipaa/for-professionals/special-topics/cloud-computing/index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5b7736e9-9df8-49a6-b09e-9141c6f3dbe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DHCS &amp; CDPH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SHIPM 4.4.1 Guidance on HIPAA &amp; Resellers of Cloud Computing Services</dc:title>
  <dc:subject/>
  <dc:creator>Babb, Rochelle@OHI</dc:creator>
  <cp:keywords/>
  <dc:description/>
  <cp:lastModifiedBy>McCarthy, Sheryl@CDII</cp:lastModifiedBy>
  <cp:revision>10</cp:revision>
  <cp:lastPrinted>2021-03-04T18:34:00Z</cp:lastPrinted>
  <dcterms:created xsi:type="dcterms:W3CDTF">2020-04-29T12:47:00Z</dcterms:created>
  <dcterms:modified xsi:type="dcterms:W3CDTF">2024-06-25T21:08:00Z</dcterms:modified>
</cp:coreProperties>
</file>